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6B0AD" w14:textId="0951542A" w:rsidR="005D59BB" w:rsidRPr="006D7DAE" w:rsidRDefault="005D59BB" w:rsidP="006442B6">
      <w:pPr>
        <w:spacing w:after="0" w:line="240" w:lineRule="auto"/>
        <w:jc w:val="center"/>
        <w:rPr>
          <w:rFonts w:cstheme="minorHAnsi"/>
          <w:b/>
          <w:color w:val="262626" w:themeColor="text1" w:themeTint="D9"/>
          <w:sz w:val="28"/>
          <w:lang w:val="el-GR"/>
        </w:rPr>
      </w:pPr>
      <w:r w:rsidRPr="006D7DAE">
        <w:rPr>
          <w:rFonts w:cstheme="minorHAnsi"/>
          <w:b/>
          <w:color w:val="262626" w:themeColor="text1" w:themeTint="D9"/>
          <w:sz w:val="28"/>
          <w:lang w:val="el-GR"/>
        </w:rPr>
        <w:t xml:space="preserve">Τα στατιστικά στοιχεία του ΕΚΤ για τους διδάκτορες που αποφοίτησαν </w:t>
      </w:r>
      <w:r w:rsidRPr="006D7DAE">
        <w:rPr>
          <w:rFonts w:cstheme="minorHAnsi"/>
          <w:b/>
          <w:color w:val="262626" w:themeColor="text1" w:themeTint="D9"/>
          <w:sz w:val="28"/>
          <w:lang w:val="el-GR"/>
        </w:rPr>
        <w:br/>
        <w:t>από τα ελληνικά ΑΕΙ το 202</w:t>
      </w:r>
      <w:r w:rsidR="00C32C28" w:rsidRPr="006D7DAE">
        <w:rPr>
          <w:rFonts w:cstheme="minorHAnsi"/>
          <w:b/>
          <w:color w:val="262626" w:themeColor="text1" w:themeTint="D9"/>
          <w:sz w:val="28"/>
          <w:lang w:val="el-GR"/>
        </w:rPr>
        <w:t>3</w:t>
      </w:r>
    </w:p>
    <w:p w14:paraId="29E22737" w14:textId="12E18654" w:rsidR="00797F30" w:rsidRPr="006D7DAE" w:rsidRDefault="005D59BB" w:rsidP="00F67B72">
      <w:pPr>
        <w:spacing w:after="0" w:line="240" w:lineRule="auto"/>
        <w:jc w:val="center"/>
        <w:rPr>
          <w:rFonts w:cstheme="minorHAnsi"/>
          <w:color w:val="262626" w:themeColor="text1" w:themeTint="D9"/>
          <w:sz w:val="28"/>
          <w:lang w:val="el-GR"/>
        </w:rPr>
      </w:pPr>
      <w:r w:rsidRPr="006D7DAE">
        <w:rPr>
          <w:rFonts w:cstheme="minorHAnsi"/>
          <w:color w:val="262626" w:themeColor="text1" w:themeTint="D9"/>
          <w:sz w:val="28"/>
          <w:lang w:val="el-GR"/>
        </w:rPr>
        <w:t xml:space="preserve">Μια ολοκληρωμένη εικόνα για τις σύγχρονες τάσεις στον τομέα </w:t>
      </w:r>
      <w:r w:rsidR="00F67B72" w:rsidRPr="006D7DAE">
        <w:rPr>
          <w:rFonts w:cstheme="minorHAnsi"/>
          <w:color w:val="262626" w:themeColor="text1" w:themeTint="D9"/>
          <w:sz w:val="28"/>
          <w:lang w:val="el-GR"/>
        </w:rPr>
        <w:br/>
      </w:r>
      <w:r w:rsidRPr="006D7DAE">
        <w:rPr>
          <w:rFonts w:cstheme="minorHAnsi"/>
          <w:color w:val="262626" w:themeColor="text1" w:themeTint="D9"/>
          <w:sz w:val="28"/>
          <w:lang w:val="el-GR"/>
        </w:rPr>
        <w:t>της έρευνας και της ακαδημαϊκής εκπαίδευσης στην Ελλάδα</w:t>
      </w:r>
    </w:p>
    <w:p w14:paraId="154E1C1C" w14:textId="7F64036D" w:rsidR="005D59BB" w:rsidRPr="006D7DAE" w:rsidRDefault="00C32C28" w:rsidP="005D59BB">
      <w:pPr>
        <w:spacing w:before="80" w:after="80"/>
        <w:jc w:val="both"/>
        <w:rPr>
          <w:rFonts w:cstheme="minorHAnsi"/>
          <w:lang w:val="el-GR"/>
        </w:rPr>
      </w:pPr>
      <w:r w:rsidRPr="006D7DAE">
        <w:rPr>
          <w:rFonts w:cstheme="minorHAnsi"/>
          <w:lang w:val="el-GR"/>
        </w:rPr>
        <w:t>2</w:t>
      </w:r>
      <w:r w:rsidR="006F167B" w:rsidRPr="006D7DAE">
        <w:rPr>
          <w:rFonts w:cstheme="minorHAnsi"/>
          <w:lang w:val="el-GR"/>
        </w:rPr>
        <w:t>.0</w:t>
      </w:r>
      <w:r w:rsidRPr="006D7DAE">
        <w:rPr>
          <w:rFonts w:cstheme="minorHAnsi"/>
          <w:lang w:val="el-GR"/>
        </w:rPr>
        <w:t>37</w:t>
      </w:r>
      <w:r w:rsidR="005D59BB" w:rsidRPr="006D7DAE">
        <w:rPr>
          <w:rFonts w:cstheme="minorHAnsi"/>
          <w:lang w:val="el-GR"/>
        </w:rPr>
        <w:t xml:space="preserve"> νέοι διδάκτορες αναγορεύθηκαν από ελληνικά ΑΕΙ το 202</w:t>
      </w:r>
      <w:r w:rsidR="006F167B" w:rsidRPr="006D7DAE">
        <w:rPr>
          <w:rFonts w:cstheme="minorHAnsi"/>
          <w:lang w:val="el-GR"/>
        </w:rPr>
        <w:t>3</w:t>
      </w:r>
      <w:r w:rsidR="005D59BB" w:rsidRPr="006D7DAE">
        <w:rPr>
          <w:rFonts w:cstheme="minorHAnsi"/>
          <w:lang w:val="el-GR"/>
        </w:rPr>
        <w:t>, το 2</w:t>
      </w:r>
      <w:r w:rsidR="006F167B" w:rsidRPr="006D7DAE">
        <w:rPr>
          <w:rFonts w:cstheme="minorHAnsi"/>
          <w:lang w:val="el-GR"/>
        </w:rPr>
        <w:t>1</w:t>
      </w:r>
      <w:r w:rsidR="005D59BB" w:rsidRPr="006D7DAE">
        <w:rPr>
          <w:rFonts w:cstheme="minorHAnsi"/>
          <w:lang w:val="el-GR"/>
        </w:rPr>
        <w:t>,</w:t>
      </w:r>
      <w:r w:rsidR="006F167B" w:rsidRPr="006D7DAE">
        <w:rPr>
          <w:rFonts w:cstheme="minorHAnsi"/>
          <w:lang w:val="el-GR"/>
        </w:rPr>
        <w:t>7</w:t>
      </w:r>
      <w:r w:rsidR="005D59BB" w:rsidRPr="006D7DAE">
        <w:rPr>
          <w:rFonts w:cstheme="minorHAnsi"/>
          <w:lang w:val="el-GR"/>
        </w:rPr>
        <w:t>% των διδακτορικών διατριβών εκπονήθηκε στο ΕΚΠΑ,</w:t>
      </w:r>
      <w:r w:rsidR="005A69FA">
        <w:rPr>
          <w:rFonts w:cstheme="minorHAnsi"/>
          <w:lang w:val="el-GR"/>
        </w:rPr>
        <w:t xml:space="preserve"> το 50,9% των νέων διδακτόρων έλαβε</w:t>
      </w:r>
      <w:r w:rsidR="00B7437E">
        <w:rPr>
          <w:rFonts w:cstheme="minorHAnsi"/>
          <w:lang w:val="el-GR"/>
        </w:rPr>
        <w:t xml:space="preserve"> χρηματοδότηση για την εκπόνηση</w:t>
      </w:r>
      <w:bookmarkStart w:id="0" w:name="_GoBack"/>
      <w:bookmarkEnd w:id="0"/>
      <w:r w:rsidR="005A69FA">
        <w:rPr>
          <w:rFonts w:cstheme="minorHAnsi"/>
          <w:lang w:val="el-GR"/>
        </w:rPr>
        <w:t xml:space="preserve"> της διδακτορικής διατριβής,</w:t>
      </w:r>
      <w:r w:rsidR="005D59BB" w:rsidRPr="006D7DAE">
        <w:rPr>
          <w:rFonts w:cstheme="minorHAnsi"/>
          <w:lang w:val="el-GR"/>
        </w:rPr>
        <w:t xml:space="preserve"> ενώ η μεγάλη πλειονότητα (8</w:t>
      </w:r>
      <w:r w:rsidR="006F167B" w:rsidRPr="006D7DAE">
        <w:rPr>
          <w:rFonts w:cstheme="minorHAnsi"/>
          <w:lang w:val="el-GR"/>
        </w:rPr>
        <w:t>5</w:t>
      </w:r>
      <w:r w:rsidR="005D59BB" w:rsidRPr="006D7DAE">
        <w:rPr>
          <w:rFonts w:cstheme="minorHAnsi"/>
          <w:lang w:val="el-GR"/>
        </w:rPr>
        <w:t>,</w:t>
      </w:r>
      <w:r w:rsidR="006F167B" w:rsidRPr="006D7DAE">
        <w:rPr>
          <w:rFonts w:cstheme="minorHAnsi"/>
          <w:lang w:val="el-GR"/>
        </w:rPr>
        <w:t>9</w:t>
      </w:r>
      <w:r w:rsidR="005D59BB" w:rsidRPr="006D7DAE">
        <w:rPr>
          <w:rFonts w:cstheme="minorHAnsi"/>
          <w:lang w:val="el-GR"/>
        </w:rPr>
        <w:t xml:space="preserve">%) δεν σκοπεύει να φύγει στο άμεσο μέλλον από τη χώρα. Τα παραπάνω στοιχεία περιλαμβάνονται στη νέα έκδοση </w:t>
      </w:r>
      <w:r w:rsidR="00AF51F3">
        <w:rPr>
          <w:rFonts w:cstheme="minorHAnsi"/>
          <w:lang w:val="el-GR"/>
        </w:rPr>
        <w:t>«</w:t>
      </w:r>
      <w:r w:rsidR="005D59BB" w:rsidRPr="006D7DAE">
        <w:rPr>
          <w:rFonts w:cstheme="minorHAnsi"/>
          <w:lang w:val="el-GR"/>
        </w:rPr>
        <w:t>Στατιστικά στοιχεία για τους διδάκτορες που αποφοίτησαν από τα ελληνικά ΑΕΙ το 202</w:t>
      </w:r>
      <w:r w:rsidR="006F167B" w:rsidRPr="006D7DAE">
        <w:rPr>
          <w:rFonts w:cstheme="minorHAnsi"/>
          <w:lang w:val="el-GR"/>
        </w:rPr>
        <w:t>3</w:t>
      </w:r>
      <w:r w:rsidR="005D59BB" w:rsidRPr="006D7DAE">
        <w:rPr>
          <w:rFonts w:cstheme="minorHAnsi"/>
          <w:lang w:val="el-GR"/>
        </w:rPr>
        <w:t xml:space="preserve">» </w:t>
      </w:r>
      <w:r w:rsidR="003F48F8">
        <w:rPr>
          <w:rFonts w:cstheme="minorHAnsi"/>
          <w:lang w:val="el-GR"/>
        </w:rPr>
        <w:t>(</w:t>
      </w:r>
      <w:hyperlink r:id="rId11" w:history="1">
        <w:r w:rsidR="003F48F8" w:rsidRPr="007375D4">
          <w:rPr>
            <w:rStyle w:val="Hyperlink"/>
            <w:rFonts w:cstheme="minorHAnsi"/>
            <w:lang w:val="el-GR"/>
          </w:rPr>
          <w:t>https://metrics.ekt.gr/publications/723</w:t>
        </w:r>
      </w:hyperlink>
      <w:r w:rsidR="003F48F8">
        <w:rPr>
          <w:rFonts w:cstheme="minorHAnsi"/>
          <w:lang w:val="el-GR"/>
        </w:rPr>
        <w:t>)</w:t>
      </w:r>
      <w:r w:rsidR="005D59BB" w:rsidRPr="006D7DAE">
        <w:rPr>
          <w:rFonts w:cstheme="minorHAnsi"/>
          <w:lang w:val="el-GR"/>
        </w:rPr>
        <w:t xml:space="preserve"> που δημοσίευσε το Εθνικό Κέντρο Τεκμηρίωσης και Ηλεκτρονικού Περιεχομένου (ΕΚΤ). </w:t>
      </w:r>
    </w:p>
    <w:p w14:paraId="70992640" w14:textId="093B2356" w:rsidR="005D59BB" w:rsidRPr="006D7DAE" w:rsidRDefault="005D59BB" w:rsidP="005D59BB">
      <w:pPr>
        <w:spacing w:before="80" w:after="80"/>
        <w:jc w:val="both"/>
        <w:rPr>
          <w:rFonts w:cstheme="minorHAnsi"/>
          <w:lang w:val="el-GR"/>
        </w:rPr>
      </w:pPr>
      <w:r w:rsidRPr="006D7DAE">
        <w:rPr>
          <w:rFonts w:cstheme="minorHAnsi"/>
          <w:lang w:val="el-GR"/>
        </w:rPr>
        <w:t>Η έκδοση παρουσιάζει δεδομένα που συνθέτουν μια ολοκληρωμένη εικόνα για τις σύγχρονες τάσεις στον τομέα της έρευνας και της ακαδημαϊκής εκπαίδευσης στην Ελλάδα. Παρουσιάζονται στοιχεία  για το προφίλ των νέων διδακτόρων, τα ιδρύματα στα οποία εκπόνησαν τη διδακτορική τους διατριβή, τις διδακτορικές σπουδές, τα επιστημονικά πεδία διατριβών, τη χρήση ψηφιακών τεχνολογιών στη διδακτορική έρευνα</w:t>
      </w:r>
      <w:r w:rsidR="0047722E">
        <w:rPr>
          <w:rFonts w:cstheme="minorHAnsi"/>
          <w:lang w:val="el-GR"/>
        </w:rPr>
        <w:t xml:space="preserve">, </w:t>
      </w:r>
      <w:r w:rsidRPr="006D7DAE">
        <w:rPr>
          <w:rFonts w:cstheme="minorHAnsi"/>
          <w:lang w:val="el-GR"/>
        </w:rPr>
        <w:t xml:space="preserve">την επαγγελματική απασχόληση των νέων διδακτόρων </w:t>
      </w:r>
      <w:r w:rsidR="00E81B0B">
        <w:rPr>
          <w:rFonts w:cstheme="minorHAnsi"/>
          <w:lang w:val="el-GR"/>
        </w:rPr>
        <w:t xml:space="preserve">και τους στόχους τους </w:t>
      </w:r>
      <w:r w:rsidRPr="006D7DAE">
        <w:rPr>
          <w:rFonts w:cstheme="minorHAnsi"/>
          <w:lang w:val="el-GR"/>
        </w:rPr>
        <w:t xml:space="preserve">καθώς και την πιθανότητα μελλοντικής εγκατάστασής τους στο εξωτερικό. </w:t>
      </w:r>
    </w:p>
    <w:p w14:paraId="3E5D5B6A" w14:textId="77777777" w:rsidR="005D59BB" w:rsidRPr="006D7DAE" w:rsidRDefault="005D59BB" w:rsidP="005D59BB">
      <w:pPr>
        <w:spacing w:before="80" w:after="80"/>
        <w:jc w:val="both"/>
        <w:rPr>
          <w:rFonts w:cstheme="minorHAnsi"/>
          <w:b/>
          <w:sz w:val="24"/>
          <w:lang w:val="el-GR"/>
        </w:rPr>
      </w:pPr>
      <w:r w:rsidRPr="006D7DAE">
        <w:rPr>
          <w:rFonts w:cstheme="minorHAnsi"/>
          <w:b/>
          <w:sz w:val="24"/>
          <w:lang w:val="el-GR"/>
        </w:rPr>
        <w:t xml:space="preserve">Αριθμός και προφίλ νέων διδακτόρων  </w:t>
      </w:r>
    </w:p>
    <w:p w14:paraId="1E88B638" w14:textId="47E788E8" w:rsidR="005D59BB" w:rsidRPr="006D7DAE" w:rsidRDefault="005D59BB" w:rsidP="005D59BB">
      <w:pPr>
        <w:spacing w:before="80" w:after="80"/>
        <w:jc w:val="both"/>
        <w:rPr>
          <w:rFonts w:cstheme="minorHAnsi"/>
          <w:lang w:val="el-GR"/>
        </w:rPr>
      </w:pPr>
      <w:r w:rsidRPr="006D7DAE">
        <w:rPr>
          <w:rFonts w:cstheme="minorHAnsi"/>
          <w:lang w:val="el-GR"/>
        </w:rPr>
        <w:t>Όπως προκύπτει από τα στοιχεία κατάθεσης διατριβών στο Ε</w:t>
      </w:r>
      <w:r w:rsidR="005875F7" w:rsidRPr="006D7DAE">
        <w:rPr>
          <w:rFonts w:cstheme="minorHAnsi"/>
          <w:lang w:val="el-GR"/>
        </w:rPr>
        <w:t>θνικό Αρχείο Διδακτορικών Διατριβών (</w:t>
      </w:r>
      <w:hyperlink r:id="rId12" w:history="1">
        <w:r w:rsidR="005875F7" w:rsidRPr="006D7DAE">
          <w:rPr>
            <w:rStyle w:val="Hyperlink"/>
            <w:rFonts w:cstheme="minorHAnsi"/>
          </w:rPr>
          <w:t>www</w:t>
        </w:r>
        <w:r w:rsidR="005875F7" w:rsidRPr="006D7DAE">
          <w:rPr>
            <w:rStyle w:val="Hyperlink"/>
            <w:rFonts w:cstheme="minorHAnsi"/>
            <w:lang w:val="el-GR"/>
          </w:rPr>
          <w:t>.</w:t>
        </w:r>
        <w:r w:rsidR="005875F7" w:rsidRPr="006D7DAE">
          <w:rPr>
            <w:rStyle w:val="Hyperlink"/>
            <w:rFonts w:cstheme="minorHAnsi"/>
          </w:rPr>
          <w:t>didaktorika</w:t>
        </w:r>
        <w:r w:rsidR="005875F7" w:rsidRPr="006D7DAE">
          <w:rPr>
            <w:rStyle w:val="Hyperlink"/>
            <w:rFonts w:cstheme="minorHAnsi"/>
            <w:lang w:val="el-GR"/>
          </w:rPr>
          <w:t>.</w:t>
        </w:r>
        <w:r w:rsidR="005875F7" w:rsidRPr="006D7DAE">
          <w:rPr>
            <w:rStyle w:val="Hyperlink"/>
            <w:rFonts w:cstheme="minorHAnsi"/>
          </w:rPr>
          <w:t>gr</w:t>
        </w:r>
      </w:hyperlink>
      <w:r w:rsidR="005875F7" w:rsidRPr="006D7DAE">
        <w:rPr>
          <w:rFonts w:cstheme="minorHAnsi"/>
          <w:lang w:val="el-GR"/>
        </w:rPr>
        <w:t>) του ΕΚΤ</w:t>
      </w:r>
      <w:r w:rsidRPr="006D7DAE">
        <w:rPr>
          <w:rFonts w:cstheme="minorHAnsi"/>
          <w:lang w:val="el-GR"/>
        </w:rPr>
        <w:t>, το 202</w:t>
      </w:r>
      <w:r w:rsidR="00A37284" w:rsidRPr="006D7DAE">
        <w:rPr>
          <w:rFonts w:cstheme="minorHAnsi"/>
          <w:lang w:val="el-GR"/>
        </w:rPr>
        <w:t>3</w:t>
      </w:r>
      <w:r w:rsidRPr="006D7DAE">
        <w:rPr>
          <w:rFonts w:cstheme="minorHAnsi"/>
          <w:lang w:val="el-GR"/>
        </w:rPr>
        <w:t xml:space="preserve"> αναγορεύθηκαν </w:t>
      </w:r>
      <w:r w:rsidR="00A37284" w:rsidRPr="006D7DAE">
        <w:rPr>
          <w:rFonts w:cstheme="minorHAnsi"/>
          <w:lang w:val="el-GR"/>
        </w:rPr>
        <w:t>2</w:t>
      </w:r>
      <w:r w:rsidRPr="006D7DAE">
        <w:rPr>
          <w:rFonts w:cstheme="minorHAnsi"/>
          <w:lang w:val="el-GR"/>
        </w:rPr>
        <w:t>.</w:t>
      </w:r>
      <w:r w:rsidR="00A37284" w:rsidRPr="006D7DAE">
        <w:rPr>
          <w:rFonts w:cstheme="minorHAnsi"/>
          <w:lang w:val="el-GR"/>
        </w:rPr>
        <w:t>037</w:t>
      </w:r>
      <w:r w:rsidRPr="006D7DAE">
        <w:rPr>
          <w:rFonts w:cstheme="minorHAnsi"/>
          <w:lang w:val="el-GR"/>
        </w:rPr>
        <w:t xml:space="preserve"> νέοι διδάκτορες από ελληνικά ΑΕΙ. Oι περισσότερες διδακτορικές διατριβές εκπονήθηκαν στο Εθνικό και Καποδιστριακό Πανεπιστήμιο Αθηνών</w:t>
      </w:r>
      <w:r w:rsidR="002E1539">
        <w:rPr>
          <w:rFonts w:cstheme="minorHAnsi"/>
          <w:lang w:val="el-GR"/>
        </w:rPr>
        <w:t xml:space="preserve"> (ΕΚΠΑ)</w:t>
      </w:r>
      <w:r w:rsidRPr="006D7DAE">
        <w:rPr>
          <w:rFonts w:cstheme="minorHAnsi"/>
          <w:lang w:val="el-GR"/>
        </w:rPr>
        <w:t xml:space="preserve"> και το Αριστοτέλειο Πανεπιστήμιο Θεσσαλονίκης, με ποσοστά 2</w:t>
      </w:r>
      <w:r w:rsidR="00A37284" w:rsidRPr="006D7DAE">
        <w:rPr>
          <w:rFonts w:cstheme="minorHAnsi"/>
          <w:lang w:val="el-GR"/>
        </w:rPr>
        <w:t>1</w:t>
      </w:r>
      <w:r w:rsidRPr="006D7DAE">
        <w:rPr>
          <w:rFonts w:cstheme="minorHAnsi"/>
          <w:lang w:val="el-GR"/>
        </w:rPr>
        <w:t>,</w:t>
      </w:r>
      <w:r w:rsidR="00A37284" w:rsidRPr="006D7DAE">
        <w:rPr>
          <w:rFonts w:cstheme="minorHAnsi"/>
          <w:lang w:val="el-GR"/>
        </w:rPr>
        <w:t>7</w:t>
      </w:r>
      <w:r w:rsidRPr="006D7DAE">
        <w:rPr>
          <w:rFonts w:cstheme="minorHAnsi"/>
          <w:lang w:val="el-GR"/>
        </w:rPr>
        <w:t>% και 1</w:t>
      </w:r>
      <w:r w:rsidR="00A37284" w:rsidRPr="006D7DAE">
        <w:rPr>
          <w:rFonts w:cstheme="minorHAnsi"/>
          <w:lang w:val="el-GR"/>
        </w:rPr>
        <w:t>8</w:t>
      </w:r>
      <w:r w:rsidRPr="006D7DAE">
        <w:rPr>
          <w:rFonts w:cstheme="minorHAnsi"/>
          <w:lang w:val="el-GR"/>
        </w:rPr>
        <w:t>,</w:t>
      </w:r>
      <w:r w:rsidR="00A37284" w:rsidRPr="006D7DAE">
        <w:rPr>
          <w:rFonts w:cstheme="minorHAnsi"/>
          <w:lang w:val="el-GR"/>
        </w:rPr>
        <w:t>3</w:t>
      </w:r>
      <w:r w:rsidRPr="006D7DAE">
        <w:rPr>
          <w:rFonts w:cstheme="minorHAnsi"/>
          <w:lang w:val="el-GR"/>
        </w:rPr>
        <w:t>%, αντίστοιχα. Ακολουθούν το Πανεπιστήμιο Πατρών (</w:t>
      </w:r>
      <w:r w:rsidR="00A37284" w:rsidRPr="006D7DAE">
        <w:rPr>
          <w:rFonts w:cstheme="minorHAnsi"/>
          <w:lang w:val="el-GR"/>
        </w:rPr>
        <w:t>8</w:t>
      </w:r>
      <w:r w:rsidRPr="006D7DAE">
        <w:rPr>
          <w:rFonts w:cstheme="minorHAnsi"/>
          <w:lang w:val="el-GR"/>
        </w:rPr>
        <w:t>,</w:t>
      </w:r>
      <w:r w:rsidR="00A37284" w:rsidRPr="006D7DAE">
        <w:rPr>
          <w:rFonts w:cstheme="minorHAnsi"/>
          <w:lang w:val="el-GR"/>
        </w:rPr>
        <w:t>9</w:t>
      </w:r>
      <w:r w:rsidRPr="006D7DAE">
        <w:rPr>
          <w:rFonts w:cstheme="minorHAnsi"/>
          <w:lang w:val="el-GR"/>
        </w:rPr>
        <w:t>%), το Εθνικό Μετσόβιο Πολυτεχνείο (7,</w:t>
      </w:r>
      <w:r w:rsidR="00A37284" w:rsidRPr="006D7DAE">
        <w:rPr>
          <w:rFonts w:cstheme="minorHAnsi"/>
          <w:lang w:val="el-GR"/>
        </w:rPr>
        <w:t>5</w:t>
      </w:r>
      <w:r w:rsidRPr="006D7DAE">
        <w:rPr>
          <w:rFonts w:cstheme="minorHAnsi"/>
          <w:lang w:val="el-GR"/>
        </w:rPr>
        <w:t xml:space="preserve">%), </w:t>
      </w:r>
      <w:r w:rsidR="00A37284" w:rsidRPr="006D7DAE">
        <w:rPr>
          <w:rFonts w:cstheme="minorHAnsi"/>
          <w:lang w:val="el-GR"/>
        </w:rPr>
        <w:t xml:space="preserve">το Πανεπιστήμιο Θεσσαλίας (6,3%), το Πανεπιστήμιο Κρήτης (6%), </w:t>
      </w:r>
      <w:r w:rsidR="00C3025B" w:rsidRPr="006D7DAE">
        <w:rPr>
          <w:rFonts w:cstheme="minorHAnsi"/>
          <w:lang w:val="el-GR"/>
        </w:rPr>
        <w:t xml:space="preserve">και </w:t>
      </w:r>
      <w:r w:rsidRPr="006D7DAE">
        <w:rPr>
          <w:rFonts w:cstheme="minorHAnsi"/>
          <w:lang w:val="el-GR"/>
        </w:rPr>
        <w:t>το Πανεπιστήμιο Ιωαννίνων (</w:t>
      </w:r>
      <w:r w:rsidR="00C3025B" w:rsidRPr="006D7DAE">
        <w:rPr>
          <w:rFonts w:cstheme="minorHAnsi"/>
          <w:lang w:val="el-GR"/>
        </w:rPr>
        <w:t>5</w:t>
      </w:r>
      <w:r w:rsidRPr="006D7DAE">
        <w:rPr>
          <w:rFonts w:cstheme="minorHAnsi"/>
          <w:lang w:val="el-GR"/>
        </w:rPr>
        <w:t>,</w:t>
      </w:r>
      <w:r w:rsidR="00C3025B" w:rsidRPr="006D7DAE">
        <w:rPr>
          <w:rFonts w:cstheme="minorHAnsi"/>
          <w:lang w:val="el-GR"/>
        </w:rPr>
        <w:t>1</w:t>
      </w:r>
      <w:r w:rsidRPr="006D7DAE">
        <w:rPr>
          <w:rFonts w:cstheme="minorHAnsi"/>
          <w:lang w:val="el-GR"/>
        </w:rPr>
        <w:t>%)</w:t>
      </w:r>
      <w:r w:rsidR="00C3025B" w:rsidRPr="006D7DAE">
        <w:rPr>
          <w:rFonts w:cstheme="minorHAnsi"/>
          <w:lang w:val="el-GR"/>
        </w:rPr>
        <w:t xml:space="preserve">. </w:t>
      </w:r>
      <w:r w:rsidRPr="006D7DAE">
        <w:rPr>
          <w:rFonts w:cstheme="minorHAnsi"/>
          <w:lang w:val="el-GR"/>
        </w:rPr>
        <w:t>Τα μερίδια των υπόλοιπων Πανεπιστημίων, από τα οποία αναγορεύθηκαν οι διδάκτορες το 202</w:t>
      </w:r>
      <w:r w:rsidR="00FC3440" w:rsidRPr="006D7DAE">
        <w:rPr>
          <w:rFonts w:cstheme="minorHAnsi"/>
          <w:lang w:val="el-GR"/>
        </w:rPr>
        <w:t>3</w:t>
      </w:r>
      <w:r w:rsidRPr="006D7DAE">
        <w:rPr>
          <w:rFonts w:cstheme="minorHAnsi"/>
          <w:lang w:val="el-GR"/>
        </w:rPr>
        <w:t xml:space="preserve"> είναι χαμηλότερα του 5%.</w:t>
      </w:r>
    </w:p>
    <w:p w14:paraId="6D13AD33" w14:textId="187C1A21" w:rsidR="002F7DFE" w:rsidRPr="006D7DAE" w:rsidRDefault="005D59BB" w:rsidP="005D59BB">
      <w:pPr>
        <w:spacing w:before="80" w:after="80"/>
        <w:jc w:val="both"/>
        <w:rPr>
          <w:rFonts w:cstheme="minorHAnsi"/>
          <w:lang w:val="el-GR"/>
        </w:rPr>
      </w:pPr>
      <w:r w:rsidRPr="006D7DAE">
        <w:rPr>
          <w:rFonts w:cstheme="minorHAnsi"/>
          <w:lang w:val="el-GR"/>
        </w:rPr>
        <w:t xml:space="preserve">Σε ό,τι αφορά την κατανομή ανά φύλο των νέων διδακτόρων, οι </w:t>
      </w:r>
      <w:r w:rsidR="00E932CE" w:rsidRPr="006D7DAE">
        <w:rPr>
          <w:rFonts w:cstheme="minorHAnsi"/>
          <w:lang w:val="el-GR"/>
        </w:rPr>
        <w:t>γυναίκες</w:t>
      </w:r>
      <w:r w:rsidRPr="006D7DAE">
        <w:rPr>
          <w:rFonts w:cstheme="minorHAnsi"/>
          <w:lang w:val="el-GR"/>
        </w:rPr>
        <w:t xml:space="preserve"> νέοι διδάκτορες υπερτερούν των</w:t>
      </w:r>
      <w:r w:rsidR="00E932CE" w:rsidRPr="006D7DAE">
        <w:rPr>
          <w:rFonts w:cstheme="minorHAnsi"/>
          <w:lang w:val="el-GR"/>
        </w:rPr>
        <w:t xml:space="preserve"> ανδρών</w:t>
      </w:r>
      <w:r w:rsidRPr="006D7DAE">
        <w:rPr>
          <w:rFonts w:cstheme="minorHAnsi"/>
          <w:lang w:val="el-GR"/>
        </w:rPr>
        <w:t>, με ποσοστό 52,</w:t>
      </w:r>
      <w:r w:rsidR="002F7DFE" w:rsidRPr="006D7DAE">
        <w:rPr>
          <w:rFonts w:cstheme="minorHAnsi"/>
          <w:lang w:val="el-GR"/>
        </w:rPr>
        <w:t>5</w:t>
      </w:r>
      <w:r w:rsidRPr="006D7DAE">
        <w:rPr>
          <w:rFonts w:cstheme="minorHAnsi"/>
          <w:lang w:val="el-GR"/>
        </w:rPr>
        <w:t>% έναντι 47,</w:t>
      </w:r>
      <w:r w:rsidR="002F7DFE" w:rsidRPr="006D7DAE">
        <w:rPr>
          <w:rFonts w:cstheme="minorHAnsi"/>
          <w:lang w:val="el-GR"/>
        </w:rPr>
        <w:t>5</w:t>
      </w:r>
      <w:r w:rsidRPr="006D7DAE">
        <w:rPr>
          <w:rFonts w:cstheme="minorHAnsi"/>
          <w:lang w:val="el-GR"/>
        </w:rPr>
        <w:t>%</w:t>
      </w:r>
      <w:r w:rsidR="002F7DFE" w:rsidRPr="006D7DAE">
        <w:rPr>
          <w:rFonts w:cstheme="minorHAnsi"/>
          <w:lang w:val="el-GR"/>
        </w:rPr>
        <w:t>.</w:t>
      </w:r>
      <w:r w:rsidRPr="006D7DAE">
        <w:rPr>
          <w:rFonts w:cstheme="minorHAnsi"/>
          <w:lang w:val="el-GR"/>
        </w:rPr>
        <w:t xml:space="preserve"> Ακόμα, οι περισσότεροι από τους νέους διδάκτορες του 202</w:t>
      </w:r>
      <w:r w:rsidR="002F7DFE" w:rsidRPr="006D7DAE">
        <w:rPr>
          <w:rFonts w:cstheme="minorHAnsi"/>
          <w:lang w:val="el-GR"/>
        </w:rPr>
        <w:t>3</w:t>
      </w:r>
      <w:r w:rsidRPr="006D7DAE">
        <w:rPr>
          <w:rFonts w:cstheme="minorHAnsi"/>
          <w:lang w:val="el-GR"/>
        </w:rPr>
        <w:t xml:space="preserve"> ανήκουν στις ηλικιακές ομάδες </w:t>
      </w:r>
      <w:r w:rsidR="002F7DFE" w:rsidRPr="006D7DAE">
        <w:rPr>
          <w:rFonts w:cstheme="minorHAnsi"/>
          <w:lang w:val="el-GR"/>
        </w:rPr>
        <w:t>ηλικιακές ομάδες 25-34 ετών (41,6%) και 35-44 ετών (36,3%), είναι άγαμοι (54,4%) και δεν έχουν παιδιά (64,6%). Η μεγάλη πλειονότητα των νέων διδακτόρων (94,1%) απέκτησαν τον πρώτο ακαδημαϊκό τους τίτλο (βασικό τίτλο σπουδών, πτυχίο) από ελληνικό ίδρυμα</w:t>
      </w:r>
      <w:r w:rsidR="002E1539">
        <w:rPr>
          <w:rFonts w:cstheme="minorHAnsi"/>
          <w:lang w:val="el-GR"/>
        </w:rPr>
        <w:t>,</w:t>
      </w:r>
      <w:r w:rsidR="002F7DFE" w:rsidRPr="006D7DAE">
        <w:rPr>
          <w:rFonts w:cstheme="minorHAnsi"/>
          <w:lang w:val="el-GR"/>
        </w:rPr>
        <w:t xml:space="preserve"> ενώ ποσοστό 86,6% έχουν μεταπτυχιακό τίτλο σπουδών.</w:t>
      </w:r>
    </w:p>
    <w:p w14:paraId="1236DD15" w14:textId="77777777" w:rsidR="00E061DB" w:rsidRPr="006D7DAE" w:rsidRDefault="005D59BB" w:rsidP="00E061DB">
      <w:pPr>
        <w:spacing w:before="80" w:after="80"/>
        <w:jc w:val="both"/>
        <w:rPr>
          <w:rFonts w:cstheme="minorHAnsi"/>
          <w:b/>
          <w:sz w:val="24"/>
          <w:lang w:val="el-GR"/>
        </w:rPr>
      </w:pPr>
      <w:r w:rsidRPr="006D7DAE">
        <w:rPr>
          <w:rFonts w:cstheme="minorHAnsi"/>
          <w:b/>
          <w:sz w:val="24"/>
          <w:lang w:val="el-GR"/>
        </w:rPr>
        <w:t xml:space="preserve">Η περίοδος των διδακτορικών σπουδών </w:t>
      </w:r>
    </w:p>
    <w:p w14:paraId="1E9CD175" w14:textId="0CCF9294" w:rsidR="00952035" w:rsidRPr="006D7DAE" w:rsidRDefault="005D59BB" w:rsidP="00E061DB">
      <w:pPr>
        <w:spacing w:before="80" w:after="80"/>
        <w:jc w:val="both"/>
        <w:rPr>
          <w:rFonts w:cstheme="minorHAnsi"/>
          <w:b/>
          <w:sz w:val="24"/>
          <w:lang w:val="el-GR"/>
        </w:rPr>
      </w:pPr>
      <w:r w:rsidRPr="006D7DAE">
        <w:rPr>
          <w:rFonts w:cstheme="minorHAnsi"/>
          <w:lang w:val="el-GR"/>
        </w:rPr>
        <w:t>Αναφορικά με τα στοιχεία που αφορούν την περίοδο των διδακτορικών σπουδών και ειδικότερα τους λόγους εκπόνησης της διατριβής, το προσωπικό ενδιαφέρον για την πραγματοποίηση διδακτορικής έρευνας ήταν ο κυριότερος λόγος (</w:t>
      </w:r>
      <w:r w:rsidR="008A2888" w:rsidRPr="006D7DAE">
        <w:rPr>
          <w:rFonts w:cstheme="minorHAnsi"/>
          <w:lang w:val="el-GR"/>
        </w:rPr>
        <w:t>58</w:t>
      </w:r>
      <w:r w:rsidRPr="006D7DAE">
        <w:rPr>
          <w:rFonts w:cstheme="minorHAnsi"/>
          <w:lang w:val="el-GR"/>
        </w:rPr>
        <w:t>,</w:t>
      </w:r>
      <w:r w:rsidR="008A2888" w:rsidRPr="006D7DAE">
        <w:rPr>
          <w:rFonts w:cstheme="minorHAnsi"/>
          <w:lang w:val="el-GR"/>
        </w:rPr>
        <w:t>5</w:t>
      </w:r>
      <w:r w:rsidRPr="006D7DAE">
        <w:rPr>
          <w:rFonts w:cstheme="minorHAnsi"/>
          <w:lang w:val="el-GR"/>
        </w:rPr>
        <w:t>%) και, στη συνέχεια, η προοπτική να ακολουθήσουν οι νέοι διδάκτορες ακαδημαϊκή σταδιοδρομία (21,</w:t>
      </w:r>
      <w:r w:rsidR="008A2888" w:rsidRPr="006D7DAE">
        <w:rPr>
          <w:rFonts w:cstheme="minorHAnsi"/>
          <w:lang w:val="el-GR"/>
        </w:rPr>
        <w:t>7</w:t>
      </w:r>
      <w:r w:rsidRPr="006D7DAE">
        <w:rPr>
          <w:rFonts w:cstheme="minorHAnsi"/>
          <w:lang w:val="el-GR"/>
        </w:rPr>
        <w:t>%) και η πρόσβαση σε καλύτερες επαγγελματικές ευκαιρίες (1</w:t>
      </w:r>
      <w:r w:rsidR="008A2888" w:rsidRPr="006D7DAE">
        <w:rPr>
          <w:rFonts w:cstheme="minorHAnsi"/>
          <w:lang w:val="el-GR"/>
        </w:rPr>
        <w:t>7</w:t>
      </w:r>
      <w:r w:rsidRPr="006D7DAE">
        <w:rPr>
          <w:rFonts w:cstheme="minorHAnsi"/>
          <w:lang w:val="el-GR"/>
        </w:rPr>
        <w:t>,</w:t>
      </w:r>
      <w:r w:rsidR="008A2888" w:rsidRPr="006D7DAE">
        <w:rPr>
          <w:rFonts w:cstheme="minorHAnsi"/>
          <w:lang w:val="el-GR"/>
        </w:rPr>
        <w:t>7</w:t>
      </w:r>
      <w:r w:rsidRPr="006D7DAE">
        <w:rPr>
          <w:rFonts w:cstheme="minorHAnsi"/>
          <w:lang w:val="el-GR"/>
        </w:rPr>
        <w:t xml:space="preserve">%). </w:t>
      </w:r>
      <w:r w:rsidR="00952035" w:rsidRPr="006D7DAE">
        <w:rPr>
          <w:rFonts w:cstheme="minorHAnsi"/>
          <w:lang w:val="el-GR"/>
        </w:rPr>
        <w:t>Επίσης, η πλειονότητα των διδακτόρων ολοκληρώνει τις διδακτορικές σπουδές σε τέσσερα έως έξι έτη: 17,6% σε τέσσερα, 21,7% σε πέντε και 16,8% σε έξι. Σημαντικό ποσοστό αποτελούν και όσοι χρειάστηκαν πάνω από 9 έτη (11,5%).</w:t>
      </w:r>
    </w:p>
    <w:p w14:paraId="12F6A513" w14:textId="5D2B4C78" w:rsidR="008A2888" w:rsidRPr="005C27E7" w:rsidRDefault="002E1539" w:rsidP="006D7DAE">
      <w:pPr>
        <w:jc w:val="both"/>
        <w:rPr>
          <w:lang w:val="el-GR"/>
        </w:rPr>
      </w:pPr>
      <w:r>
        <w:rPr>
          <w:lang w:val="el-GR"/>
        </w:rPr>
        <w:t xml:space="preserve">Το </w:t>
      </w:r>
      <w:r w:rsidR="008A2888" w:rsidRPr="005C27E7">
        <w:rPr>
          <w:lang w:val="el-GR"/>
        </w:rPr>
        <w:t xml:space="preserve">50,9% των νέων διδακτόρων του 2023 </w:t>
      </w:r>
      <w:r>
        <w:rPr>
          <w:lang w:val="el-GR"/>
        </w:rPr>
        <w:t>έλαβε χρηματοδότηση</w:t>
      </w:r>
      <w:r w:rsidR="008A2888" w:rsidRPr="005C27E7">
        <w:rPr>
          <w:lang w:val="el-GR"/>
        </w:rPr>
        <w:t xml:space="preserve"> για την εκπόνηση της διδακτορικής  διατριβής. Για όσους έλαβαν χρηματοδότηση για τις διδακτορικές τους σπουδές, η κύρια πηγή ήταν η </w:t>
      </w:r>
      <w:r w:rsidR="008A2888" w:rsidRPr="005C27E7">
        <w:rPr>
          <w:lang w:val="el-GR"/>
        </w:rPr>
        <w:lastRenderedPageBreak/>
        <w:t>λήψη υποτροφίας (64,0%) και η απασχόληση σε ερευνητικό έργο που περιλαμβάνει αυτούσιο μέρος ή το σύνολο της διδακτορικής διατριβής (19,3%). Και στις δύο περιπτώσεις, σημαντική είναι η χρηματοδότηση από εθνικούς πόρους (ΙΚΥ, ΕΛΙΔΕΚ, ΕΣΠΑ, κ.λπ.)</w:t>
      </w:r>
      <w:r>
        <w:rPr>
          <w:lang w:val="el-GR"/>
        </w:rPr>
        <w:t xml:space="preserve"> </w:t>
      </w:r>
      <w:r w:rsidR="008A2888" w:rsidRPr="005C27E7">
        <w:rPr>
          <w:lang w:val="el-GR"/>
        </w:rPr>
        <w:t xml:space="preserve">από υποτροφία ή από συμμετοχή σε ερευνητικό έργο που σχετίζεται με τη διδακτορική έρευνα. </w:t>
      </w:r>
    </w:p>
    <w:p w14:paraId="04AB8747" w14:textId="6FF6412F" w:rsidR="00952035" w:rsidRPr="005C27E7" w:rsidRDefault="00952035" w:rsidP="006D7DAE">
      <w:pPr>
        <w:jc w:val="both"/>
        <w:rPr>
          <w:lang w:val="el-GR"/>
        </w:rPr>
      </w:pPr>
      <w:r w:rsidRPr="005C27E7">
        <w:rPr>
          <w:lang w:val="el-GR"/>
        </w:rPr>
        <w:t xml:space="preserve">Υψηλά ποσοστά χρηματοδότησης έχουν όσοι εκπόνησαν τη διδακτορική τους διατριβή στις Φυσικές Επιστήμες (75,3%), τις Επιστήμες Μηχανικού και Τεχνολογία (67,5%) και τις Γεωπονικές Επιστήμες και Κτηνιατρική (67,0%). Αντίθετα, χαμηλά είναι τα ποσοστά χρηματοδότησης στην Ιατρική και Επιστήμες Υγείας (32,2%) και τις Κοινωνικές Επιστήμες (33,8%). Στις Ανθρωπιστικές Επιστήμες το ποσοστό χρηματοδότησης είναι 44,1%. </w:t>
      </w:r>
    </w:p>
    <w:p w14:paraId="6870A7F5" w14:textId="47E697D9" w:rsidR="005D59BB" w:rsidRPr="006D7DAE" w:rsidRDefault="005D59BB" w:rsidP="005D59BB">
      <w:pPr>
        <w:spacing w:before="80" w:after="80"/>
        <w:jc w:val="both"/>
        <w:rPr>
          <w:rFonts w:cstheme="minorHAnsi"/>
          <w:b/>
          <w:sz w:val="24"/>
          <w:lang w:val="el-GR"/>
        </w:rPr>
      </w:pPr>
      <w:r w:rsidRPr="006D7DAE">
        <w:rPr>
          <w:rFonts w:cstheme="minorHAnsi"/>
          <w:b/>
          <w:sz w:val="24"/>
          <w:lang w:val="el-GR"/>
        </w:rPr>
        <w:t xml:space="preserve">Επαγγελματική απασχόληση και μελλοντικοί στόχοι νέων διδακτόρων  </w:t>
      </w:r>
    </w:p>
    <w:p w14:paraId="5C6E7FE1" w14:textId="53F6DF4C" w:rsidR="00E061DB" w:rsidRPr="006D7DAE" w:rsidRDefault="00E061DB" w:rsidP="005D59BB">
      <w:pPr>
        <w:spacing w:before="80" w:after="80"/>
        <w:jc w:val="both"/>
        <w:rPr>
          <w:rFonts w:cstheme="minorHAnsi"/>
          <w:lang w:val="el-GR"/>
        </w:rPr>
      </w:pPr>
      <w:r w:rsidRPr="006D7DAE">
        <w:rPr>
          <w:rFonts w:cstheme="minorHAnsi"/>
          <w:lang w:val="el-GR"/>
        </w:rPr>
        <w:t>Κατά την ολοκλήρωση των διδακτορικών σπουδών τους, οι νέοι διδάκτορες σε ποσοστό 78,8% εργάζονται. Οι περισσότεροι διατηρούν τη θέση που κατείχαν πριν την ολοκλήρωση των διδακτορικών σπουδών (58,0%). Ποσοστό 17,8% δεν εργάζεται και αναζητά θέση εργασίας.</w:t>
      </w:r>
    </w:p>
    <w:p w14:paraId="38E04DE7" w14:textId="19FE2A5A" w:rsidR="00E061DB" w:rsidRPr="006D7DAE" w:rsidRDefault="00E061DB" w:rsidP="00E061DB">
      <w:pPr>
        <w:jc w:val="both"/>
        <w:rPr>
          <w:rFonts w:cstheme="minorHAnsi"/>
          <w:lang w:val="el-GR"/>
        </w:rPr>
      </w:pPr>
      <w:r w:rsidRPr="006D7DAE">
        <w:rPr>
          <w:rFonts w:cstheme="minorHAnsi"/>
          <w:lang w:val="el-GR"/>
        </w:rPr>
        <w:t>Όσον αφορά την προοπτική εγκατάστασης των νέων διδακτόρων στο εξωτερικό, η μεγάλη πλειονότητα (85,9%) δεν σκοπεύει να φύγει στο άμεσο μέλλον από τη χώρα.</w:t>
      </w:r>
      <w:r w:rsidR="00296D33" w:rsidRPr="006D7DAE">
        <w:rPr>
          <w:rFonts w:cstheme="minorHAnsi"/>
          <w:lang w:val="el-GR"/>
        </w:rPr>
        <w:t xml:space="preserve"> </w:t>
      </w:r>
      <w:r w:rsidRPr="006D7DAE">
        <w:rPr>
          <w:rFonts w:cstheme="minorHAnsi"/>
          <w:lang w:val="el-GR"/>
        </w:rPr>
        <w:t>Οι περισσότεροι από όσους σκοπεύουν να εγκατασταθούν στο άμεσο μέλλον μόνιμα στο εξωτερικό προέρχονται από τις Φυσικές Επιστήμες (33,8%), ενώ ακολουθούν όσοι εξειδικεύονται στην Ιατρική και στις Επιστήμες Υγείας (21,3%) και όσοι προέρχονται από τις Επιστήμες Μηχανικού και Τεχνολογία (19,5%). Αντίστοιχα, η πλειονότητα όσων δεν σκοπεύουν να μεταναστεύσουν, προέρχεται από δύο επιστημονικά πεδία, τις Κοινωνικές Επιστήμες (13,6%) και τις Ανθρωπιστικές Επιστήμες &amp; Τέχνες (7,3%).</w:t>
      </w:r>
    </w:p>
    <w:p w14:paraId="10195CD4" w14:textId="77777777" w:rsidR="00E061DB" w:rsidRPr="006D7DAE" w:rsidRDefault="00E061DB" w:rsidP="00E061DB">
      <w:pPr>
        <w:jc w:val="both"/>
        <w:rPr>
          <w:rFonts w:cstheme="minorHAnsi"/>
          <w:lang w:val="el-GR"/>
        </w:rPr>
      </w:pPr>
      <w:r w:rsidRPr="006D7DAE">
        <w:rPr>
          <w:rFonts w:cstheme="minorHAnsi"/>
          <w:lang w:val="el-GR"/>
        </w:rPr>
        <w:t>Η συνέχιση της ερευνητικής δραστηριότητας φαίνεται ότι αποτελεί τον βασικό λόγο για την προοπτική μόνιμης εγκατάστασης των νέων διδακτόρων εκτός χώρας (46,0%), ενώ έπεται η επαγγελματική απασχόληση σε οποιοδήποτε είδος θέσης εργασίας, εκτός έρευνας (25,4%) και η ακαδημαϊκή σταδιοδρομία (19,5%).</w:t>
      </w:r>
    </w:p>
    <w:p w14:paraId="7795891F" w14:textId="4FEE9D16" w:rsidR="00252880" w:rsidRPr="006D7DAE" w:rsidRDefault="00252880" w:rsidP="00252880">
      <w:pPr>
        <w:spacing w:before="80" w:after="80"/>
        <w:jc w:val="both"/>
        <w:rPr>
          <w:rFonts w:cstheme="minorHAnsi"/>
          <w:b/>
          <w:sz w:val="24"/>
          <w:lang w:val="el-GR"/>
        </w:rPr>
      </w:pPr>
      <w:r w:rsidRPr="006D7DAE">
        <w:rPr>
          <w:rFonts w:cstheme="minorHAnsi"/>
          <w:b/>
          <w:sz w:val="24"/>
          <w:lang w:val="el-GR"/>
        </w:rPr>
        <w:t xml:space="preserve">Επιστημονικά πεδία διδακτορικών διατριβών και αξιοποίηση ερευνητικών αποτελεσμάτων </w:t>
      </w:r>
    </w:p>
    <w:p w14:paraId="106DCABD" w14:textId="74A36C12" w:rsidR="00252880" w:rsidRPr="006D7DAE" w:rsidRDefault="00252880" w:rsidP="00252880">
      <w:pPr>
        <w:spacing w:before="80" w:after="80"/>
        <w:jc w:val="both"/>
        <w:rPr>
          <w:rFonts w:cstheme="minorHAnsi"/>
          <w:lang w:val="el-GR"/>
        </w:rPr>
      </w:pPr>
      <w:r w:rsidRPr="006D7DAE">
        <w:rPr>
          <w:rFonts w:cstheme="minorHAnsi"/>
          <w:lang w:val="el-GR"/>
        </w:rPr>
        <w:t>Οι περισσότερες από τις διδακτορικές διατριβές του 202</w:t>
      </w:r>
      <w:r w:rsidR="00DA4593" w:rsidRPr="006D7DAE">
        <w:rPr>
          <w:rFonts w:cstheme="minorHAnsi"/>
          <w:lang w:val="el-GR"/>
        </w:rPr>
        <w:t>3</w:t>
      </w:r>
      <w:r w:rsidRPr="006D7DAE">
        <w:rPr>
          <w:rFonts w:cstheme="minorHAnsi"/>
          <w:lang w:val="el-GR"/>
        </w:rPr>
        <w:t xml:space="preserve"> εντάσσονται στα κύρια επιστημονικά πεδία </w:t>
      </w:r>
      <w:r w:rsidR="00DA4593" w:rsidRPr="006D7DAE">
        <w:rPr>
          <w:rFonts w:cstheme="minorHAnsi"/>
          <w:lang w:val="el-GR"/>
        </w:rPr>
        <w:t>των Φυσικών Επιστημών (24,8%) της Ιατρικής &amp; Επιστημών Υγείας (24,1%), ενώ ακολουθούν οι Κοινωνικές Επιστήμες (23,3%).</w:t>
      </w:r>
    </w:p>
    <w:p w14:paraId="1E718600" w14:textId="539A4842" w:rsidR="00263EDD" w:rsidRPr="006D7DAE" w:rsidRDefault="00252880" w:rsidP="00263EDD">
      <w:pPr>
        <w:spacing w:before="80" w:after="80"/>
        <w:jc w:val="both"/>
        <w:rPr>
          <w:rFonts w:cstheme="minorHAnsi"/>
          <w:lang w:val="el-GR"/>
        </w:rPr>
      </w:pPr>
      <w:r w:rsidRPr="006D7DAE">
        <w:rPr>
          <w:rFonts w:cstheme="minorHAnsi"/>
          <w:lang w:val="el-GR"/>
        </w:rPr>
        <w:t xml:space="preserve">Όσον αφορά την κατανομή μεταξύ ανά φύλο, </w:t>
      </w:r>
      <w:r w:rsidR="00DC7A5E" w:rsidRPr="006D7DAE">
        <w:rPr>
          <w:rFonts w:cstheme="minorHAnsi"/>
          <w:lang w:val="el-GR"/>
        </w:rPr>
        <w:t>υ</w:t>
      </w:r>
      <w:r w:rsidR="00263EDD" w:rsidRPr="006D7DAE">
        <w:rPr>
          <w:rFonts w:cstheme="minorHAnsi"/>
          <w:lang w:val="el-GR"/>
        </w:rPr>
        <w:t xml:space="preserve">περοχή των γυναικών καταγράφεται στα πεδία των Γεωπονικών Επιστημών, Κοινωνικών Επιστημών, της Ιατρικής &amp; Επιστημών Υγείας καθώς και των Ανθρωπιστικών Επιστημών (66,3%, 57,8%, 56,7%, και 54,9%, αντίστοιχα). Η συμμετοχή των γυναικών είναι χαμηλότερη στο πεδίο των Φυσικών Επιστημών (48,6%) και, κυρίως, στο πεδίο των Επιστημών Μηχανικού &amp; Τεχνολογίας (34,3%).  </w:t>
      </w:r>
    </w:p>
    <w:p w14:paraId="2B48B41F" w14:textId="49C1B652" w:rsidR="00950836" w:rsidRPr="006D7DAE" w:rsidRDefault="00252880" w:rsidP="00950836">
      <w:pPr>
        <w:spacing w:before="80" w:after="80"/>
        <w:jc w:val="both"/>
        <w:rPr>
          <w:rFonts w:cstheme="minorHAnsi"/>
          <w:lang w:val="el-GR"/>
        </w:rPr>
      </w:pPr>
      <w:r w:rsidRPr="006D7DAE">
        <w:rPr>
          <w:rFonts w:cstheme="minorHAnsi"/>
          <w:lang w:val="el-GR"/>
        </w:rPr>
        <w:t>Οι κυριότερες επιστημονικές εκροές της έρευνας των νέων διδακτόρων</w:t>
      </w:r>
      <w:r w:rsidR="00950836" w:rsidRPr="006D7DAE">
        <w:rPr>
          <w:rFonts w:cstheme="minorHAnsi"/>
          <w:lang w:val="el-GR"/>
        </w:rPr>
        <w:t xml:space="preserve"> 2023</w:t>
      </w:r>
      <w:r w:rsidRPr="006D7DAE">
        <w:rPr>
          <w:rFonts w:cstheme="minorHAnsi"/>
          <w:lang w:val="el-GR"/>
        </w:rPr>
        <w:t xml:space="preserve"> αφορούν </w:t>
      </w:r>
      <w:r w:rsidR="00950836" w:rsidRPr="006D7DAE">
        <w:rPr>
          <w:rFonts w:cstheme="minorHAnsi"/>
          <w:lang w:val="el-GR"/>
        </w:rPr>
        <w:t>τη δημοσίευση σε διεθνές επιστημονικό περιοδικό (55,6%), τη συμμετοχή σε διεθνές συνέδριο (54,0%), και τη δημοσίευση σε πρακτικά συνεδρίου (51,5%).</w:t>
      </w:r>
    </w:p>
    <w:p w14:paraId="4A123220" w14:textId="30ADE094" w:rsidR="00252880" w:rsidRPr="006D7DAE" w:rsidRDefault="00252880" w:rsidP="00252880">
      <w:pPr>
        <w:spacing w:before="80" w:after="80"/>
        <w:jc w:val="both"/>
        <w:rPr>
          <w:rFonts w:cstheme="minorHAnsi"/>
          <w:lang w:val="el-GR"/>
        </w:rPr>
      </w:pPr>
      <w:r w:rsidRPr="006D7DAE">
        <w:rPr>
          <w:rFonts w:cstheme="minorHAnsi"/>
          <w:lang w:val="el-GR"/>
        </w:rPr>
        <w:t>Ποσοστό 2</w:t>
      </w:r>
      <w:r w:rsidR="00092379" w:rsidRPr="006D7DAE">
        <w:rPr>
          <w:rFonts w:cstheme="minorHAnsi"/>
          <w:lang w:val="el-GR"/>
        </w:rPr>
        <w:t>8</w:t>
      </w:r>
      <w:r w:rsidRPr="006D7DAE">
        <w:rPr>
          <w:rFonts w:cstheme="minorHAnsi"/>
          <w:lang w:val="el-GR"/>
        </w:rPr>
        <w:t>,1% συμμετείχαν σε ερευνητικό έργο ως αποτέλεσμα της έρευνάς τους, ενώ αρκετά μικρότερα ποσοστά παρατηρούνται για τις υπόλοιπες εκροές που αφορούν την κατοχύρωση πνευματικής ιδιοκτησίας (</w:t>
      </w:r>
      <w:r w:rsidR="00092379" w:rsidRPr="006D7DAE">
        <w:rPr>
          <w:rFonts w:cstheme="minorHAnsi"/>
          <w:lang w:val="el-GR"/>
        </w:rPr>
        <w:t>3</w:t>
      </w:r>
      <w:r w:rsidRPr="006D7DAE">
        <w:rPr>
          <w:rFonts w:cstheme="minorHAnsi"/>
          <w:lang w:val="el-GR"/>
        </w:rPr>
        <w:t>,</w:t>
      </w:r>
      <w:r w:rsidR="00092379" w:rsidRPr="006D7DAE">
        <w:rPr>
          <w:rFonts w:cstheme="minorHAnsi"/>
          <w:lang w:val="el-GR"/>
        </w:rPr>
        <w:t>7</w:t>
      </w:r>
      <w:r w:rsidRPr="006D7DAE">
        <w:rPr>
          <w:rFonts w:cstheme="minorHAnsi"/>
          <w:lang w:val="el-GR"/>
        </w:rPr>
        <w:t>%) και τη δημιουργία επιχείρησης (</w:t>
      </w:r>
      <w:r w:rsidR="00092379" w:rsidRPr="006D7DAE">
        <w:rPr>
          <w:rFonts w:cstheme="minorHAnsi"/>
          <w:lang w:val="el-GR"/>
        </w:rPr>
        <w:t>2</w:t>
      </w:r>
      <w:r w:rsidRPr="006D7DAE">
        <w:rPr>
          <w:rFonts w:cstheme="minorHAnsi"/>
          <w:lang w:val="el-GR"/>
        </w:rPr>
        <w:t>,</w:t>
      </w:r>
      <w:r w:rsidR="00092379" w:rsidRPr="006D7DAE">
        <w:rPr>
          <w:rFonts w:cstheme="minorHAnsi"/>
          <w:lang w:val="el-GR"/>
        </w:rPr>
        <w:t>7</w:t>
      </w:r>
      <w:r w:rsidRPr="006D7DAE">
        <w:rPr>
          <w:rFonts w:cstheme="minorHAnsi"/>
          <w:lang w:val="el-GR"/>
        </w:rPr>
        <w:t>%).</w:t>
      </w:r>
    </w:p>
    <w:p w14:paraId="6C6859AC" w14:textId="61217B9F" w:rsidR="00444F66" w:rsidRDefault="00444F66" w:rsidP="00252880">
      <w:pPr>
        <w:spacing w:before="80" w:after="80"/>
        <w:jc w:val="both"/>
        <w:rPr>
          <w:rFonts w:cstheme="minorHAnsi"/>
          <w:lang w:val="el-GR"/>
        </w:rPr>
      </w:pPr>
    </w:p>
    <w:p w14:paraId="5C906F68" w14:textId="77777777" w:rsidR="002E1539" w:rsidRPr="006D7DAE" w:rsidRDefault="002E1539" w:rsidP="00252880">
      <w:pPr>
        <w:spacing w:before="80" w:after="80"/>
        <w:jc w:val="both"/>
        <w:rPr>
          <w:rFonts w:cstheme="minorHAnsi"/>
          <w:lang w:val="el-GR"/>
        </w:rPr>
      </w:pPr>
    </w:p>
    <w:p w14:paraId="08E840D5" w14:textId="77777777" w:rsidR="00444F66" w:rsidRPr="006D7DAE" w:rsidRDefault="00444F66" w:rsidP="00444F66">
      <w:pPr>
        <w:jc w:val="both"/>
        <w:rPr>
          <w:rFonts w:cstheme="minorHAnsi"/>
          <w:b/>
          <w:bCs/>
          <w:sz w:val="24"/>
          <w:szCs w:val="24"/>
          <w:lang w:val="el-GR"/>
        </w:rPr>
      </w:pPr>
      <w:r w:rsidRPr="006D7DAE">
        <w:rPr>
          <w:rFonts w:cstheme="minorHAnsi"/>
          <w:b/>
          <w:bCs/>
          <w:sz w:val="24"/>
          <w:szCs w:val="24"/>
          <w:lang w:val="el-GR"/>
        </w:rPr>
        <w:t>Χρήση ψηφιακών τεχνολογιών στη διδακτορική έρευνα</w:t>
      </w:r>
    </w:p>
    <w:p w14:paraId="4B2B5638" w14:textId="77777777" w:rsidR="00272D3B" w:rsidRPr="00272D3B" w:rsidRDefault="00272D3B" w:rsidP="00272D3B">
      <w:pPr>
        <w:spacing w:before="80" w:after="80"/>
        <w:jc w:val="both"/>
        <w:rPr>
          <w:rFonts w:cstheme="minorHAnsi"/>
          <w:lang w:val="el-GR"/>
        </w:rPr>
      </w:pPr>
      <w:r w:rsidRPr="00272D3B">
        <w:rPr>
          <w:rFonts w:cstheme="minorHAnsi"/>
          <w:lang w:val="el-GR"/>
        </w:rPr>
        <w:t>Οι νέοι διδάκτορες χρησιμοποιούν, σε ποσοστό που προσεγγίζει το 98,4%, διαδικτυακές πλατφόρμες και άλλα συναφή ψηφιακά εργαλεία για τη βιβλιογραφική αναζήτηση και την πρόσβαση σε πληροφορίες, 79,9% για την ανάλυση δεδομένων και 77,7% για τη δημοσίευση των ερευνητικών τους αποτελεσμάτων.</w:t>
      </w:r>
    </w:p>
    <w:p w14:paraId="7EDE819A" w14:textId="77777777" w:rsidR="00272D3B" w:rsidRDefault="00272D3B" w:rsidP="00272D3B">
      <w:pPr>
        <w:spacing w:before="80" w:after="80"/>
        <w:jc w:val="both"/>
        <w:rPr>
          <w:rFonts w:cstheme="minorHAnsi"/>
          <w:lang w:val="el-GR"/>
        </w:rPr>
      </w:pPr>
      <w:r w:rsidRPr="00272D3B">
        <w:rPr>
          <w:rFonts w:cstheme="minorHAnsi"/>
          <w:lang w:val="el-GR"/>
        </w:rPr>
        <w:t>Για τους σκοπούς της διδακτορικής έρευνας οι νέοι διδάκτορες αξιοποίησαν επίσης τις νέες επιδραστικές ψηφιακές τεχνολογίες</w:t>
      </w:r>
      <w:r>
        <w:rPr>
          <w:rFonts w:cstheme="minorHAnsi"/>
          <w:lang w:val="el-GR"/>
        </w:rPr>
        <w:t xml:space="preserve">. </w:t>
      </w:r>
      <w:r w:rsidRPr="00272D3B">
        <w:rPr>
          <w:rFonts w:cstheme="minorHAnsi"/>
          <w:lang w:val="el-GR"/>
        </w:rPr>
        <w:t xml:space="preserve">Ποσοστό 23,3% ανέπτυξαν ή χρησιμοποίησαν διαδικασίες με υπολογιστικά συστήματα για την εξόρυξη γνώσης και πληροφοριών από δομημένα ή αδόμητα δεδομένα (data mining &amp; machine learning), ποσοστό 17,2% αξιοποίησαν δεδομένα μεγάλης κλίμακας (Big Data), 12,0%, ασχολήθηκαν με διασυνδεδεμένους αισθητήρες (Internet of Things),  9,0%  χρησιμοποίησαν συμμετοχικά δίκτυα (participative networks) για την πρόσβαση σε δεδομένα και 8,4% ασχολήθηκαν με τη ρομποτική (robotics).  </w:t>
      </w:r>
    </w:p>
    <w:p w14:paraId="773351D2" w14:textId="334332E3" w:rsidR="00567F3E" w:rsidRDefault="00567F3E" w:rsidP="00272D3B">
      <w:pPr>
        <w:spacing w:before="80" w:after="80"/>
        <w:jc w:val="both"/>
        <w:rPr>
          <w:rFonts w:cstheme="minorHAnsi"/>
          <w:lang w:val="el-GR"/>
        </w:rPr>
      </w:pPr>
      <w:r w:rsidRPr="00567F3E">
        <w:rPr>
          <w:rFonts w:cstheme="minorHAnsi"/>
          <w:lang w:val="el-GR"/>
        </w:rPr>
        <w:t>Σε ποσοστό 54%, η έρευνα των νέων διδακτόρων οδηγεί στη δημιουργία νέων ερευνητικών δεδομένων ή την ανάπτυξη κώδικα προγραμματισμού. Το 37,7% των νέων διδακτόρων απάντησε ότι στις επιστημονικές εκροές που συνδέονται με τη διδακτορική τους έρευνα περιλαμβάνεται η δημιουργία νέων ερευνητικών δεδομένων, το 4,0% η ανάπτυξη κώδικα προγραμματισμού ενώ για το 12,3% οι επιστημονικές εκροές συμπεριλαμβάνουν τόσο δεδομένα, όσο και ανάπτυξη κώδικα προγραμματισμού.</w:t>
      </w:r>
    </w:p>
    <w:p w14:paraId="4044C89C" w14:textId="19F26118" w:rsidR="005D59BB" w:rsidRDefault="005D59BB" w:rsidP="00272D3B">
      <w:pPr>
        <w:spacing w:before="80" w:after="80"/>
        <w:jc w:val="both"/>
        <w:rPr>
          <w:rFonts w:cstheme="minorHAnsi"/>
          <w:lang w:val="el-GR"/>
        </w:rPr>
      </w:pPr>
      <w:r w:rsidRPr="002E1539">
        <w:rPr>
          <w:rFonts w:cstheme="minorHAnsi"/>
          <w:lang w:val="el-GR"/>
        </w:rPr>
        <w:t>Η ετήσια εθνική στατιστική έρευνα για τους κατόχους διδακτορικού τίτλου από ελληνικά ΑΕΙ διενεργείται από το ΕΚΤ, αποτελώντας μέρος των επίσημων στατιστικών που παράγει το ΕΚΤ</w:t>
      </w:r>
      <w:r w:rsidR="004D6CD8" w:rsidRPr="002E1539">
        <w:rPr>
          <w:rFonts w:cstheme="minorHAnsi"/>
          <w:lang w:val="el-GR"/>
        </w:rPr>
        <w:t>, ως Εθνική Αρχή και φορέας του Ελληνικού Στατιστικού Συστήματος</w:t>
      </w:r>
      <w:r w:rsidRPr="002E1539">
        <w:rPr>
          <w:rFonts w:cstheme="minorHAnsi"/>
          <w:lang w:val="el-GR"/>
        </w:rPr>
        <w:t xml:space="preserve">. Οι νέοι διδάκτορες καλούνται να συμπληρώσουν σχετικό ερωτηματολόγιο, παράλληλα με την κατάθεση της διατριβής τους στο Εθνικό Αρχείο Διδακτορικών Διατριβών (ΕΑΔΔ) του ΕΚΤ. </w:t>
      </w:r>
    </w:p>
    <w:p w14:paraId="02839A0F" w14:textId="77777777" w:rsidR="002E1539" w:rsidRPr="002E1539" w:rsidRDefault="002E1539" w:rsidP="00272D3B">
      <w:pPr>
        <w:spacing w:before="80" w:after="80"/>
        <w:jc w:val="both"/>
        <w:rPr>
          <w:rFonts w:cstheme="minorHAnsi"/>
          <w:lang w:val="el-GR"/>
        </w:rPr>
      </w:pPr>
    </w:p>
    <w:p w14:paraId="7D55A46C" w14:textId="7EB4627F" w:rsidR="003F48F8" w:rsidRDefault="0013453F" w:rsidP="009D0EF3">
      <w:pPr>
        <w:spacing w:before="170"/>
        <w:rPr>
          <w:lang w:val="el-GR"/>
        </w:rPr>
      </w:pPr>
      <w:r w:rsidRPr="006D7DAE">
        <w:rPr>
          <w:rFonts w:cstheme="minorHAnsi"/>
          <w:b/>
          <w:color w:val="262626" w:themeColor="text1" w:themeTint="D9"/>
          <w:sz w:val="24"/>
          <w:lang w:val="el-GR"/>
        </w:rPr>
        <w:t xml:space="preserve">Διευθύνσεις στο Διαδίκτυο </w:t>
      </w:r>
      <w:r w:rsidRPr="006D7DAE">
        <w:rPr>
          <w:rFonts w:cstheme="minorHAnsi"/>
          <w:sz w:val="16"/>
          <w:szCs w:val="16"/>
          <w:lang w:val="el-GR"/>
        </w:rPr>
        <w:br/>
      </w:r>
      <w:r w:rsidR="005D59BB" w:rsidRPr="006D7DAE">
        <w:rPr>
          <w:rFonts w:cstheme="minorHAnsi"/>
          <w:lang w:val="el-GR"/>
        </w:rPr>
        <w:t>«Στατιστικά στοιχεία για τους διδάκτορες που αποφοίτησαν από τα ελληνικά ΑΕΙ το 202</w:t>
      </w:r>
      <w:r w:rsidR="0060535A" w:rsidRPr="006D7DAE">
        <w:rPr>
          <w:rFonts w:cstheme="minorHAnsi"/>
          <w:lang w:val="el-GR"/>
        </w:rPr>
        <w:t>3</w:t>
      </w:r>
      <w:r w:rsidR="005D59BB" w:rsidRPr="006D7DAE">
        <w:rPr>
          <w:rFonts w:cstheme="minorHAnsi"/>
          <w:lang w:val="el-GR"/>
        </w:rPr>
        <w:t>»</w:t>
      </w:r>
      <w:r w:rsidR="005D59BB" w:rsidRPr="006D7DAE">
        <w:rPr>
          <w:rFonts w:cstheme="minorHAnsi"/>
          <w:lang w:val="el-GR"/>
        </w:rPr>
        <w:br/>
      </w:r>
      <w:hyperlink r:id="rId13" w:history="1">
        <w:r w:rsidR="003F48F8" w:rsidRPr="007375D4">
          <w:rPr>
            <w:rStyle w:val="Hyperlink"/>
          </w:rPr>
          <w:t>https</w:t>
        </w:r>
        <w:r w:rsidR="003F48F8" w:rsidRPr="007375D4">
          <w:rPr>
            <w:rStyle w:val="Hyperlink"/>
            <w:lang w:val="el-GR"/>
          </w:rPr>
          <w:t>://</w:t>
        </w:r>
        <w:r w:rsidR="003F48F8" w:rsidRPr="007375D4">
          <w:rPr>
            <w:rStyle w:val="Hyperlink"/>
          </w:rPr>
          <w:t>metrics</w:t>
        </w:r>
        <w:r w:rsidR="003F48F8" w:rsidRPr="007375D4">
          <w:rPr>
            <w:rStyle w:val="Hyperlink"/>
            <w:lang w:val="el-GR"/>
          </w:rPr>
          <w:t>.</w:t>
        </w:r>
        <w:r w:rsidR="003F48F8" w:rsidRPr="007375D4">
          <w:rPr>
            <w:rStyle w:val="Hyperlink"/>
          </w:rPr>
          <w:t>ekt</w:t>
        </w:r>
        <w:r w:rsidR="003F48F8" w:rsidRPr="007375D4">
          <w:rPr>
            <w:rStyle w:val="Hyperlink"/>
            <w:lang w:val="el-GR"/>
          </w:rPr>
          <w:t>.</w:t>
        </w:r>
        <w:r w:rsidR="003F48F8" w:rsidRPr="007375D4">
          <w:rPr>
            <w:rStyle w:val="Hyperlink"/>
          </w:rPr>
          <w:t>gr</w:t>
        </w:r>
        <w:r w:rsidR="003F48F8" w:rsidRPr="007375D4">
          <w:rPr>
            <w:rStyle w:val="Hyperlink"/>
            <w:lang w:val="el-GR"/>
          </w:rPr>
          <w:t>/</w:t>
        </w:r>
        <w:r w:rsidR="003F48F8" w:rsidRPr="007375D4">
          <w:rPr>
            <w:rStyle w:val="Hyperlink"/>
          </w:rPr>
          <w:t>publications</w:t>
        </w:r>
        <w:r w:rsidR="003F48F8" w:rsidRPr="007375D4">
          <w:rPr>
            <w:rStyle w:val="Hyperlink"/>
            <w:lang w:val="el-GR"/>
          </w:rPr>
          <w:t>/723</w:t>
        </w:r>
      </w:hyperlink>
    </w:p>
    <w:p w14:paraId="739E9335" w14:textId="58A64298" w:rsidR="006D416A" w:rsidRPr="006D7DAE" w:rsidRDefault="006D416A" w:rsidP="009D0EF3">
      <w:pPr>
        <w:spacing w:before="170"/>
        <w:rPr>
          <w:rFonts w:cstheme="minorHAnsi"/>
          <w:lang w:val="el-GR"/>
        </w:rPr>
      </w:pPr>
      <w:r w:rsidRPr="006D7DAE">
        <w:rPr>
          <w:rFonts w:cstheme="minorHAnsi"/>
        </w:rPr>
        <w:t>metrics</w:t>
      </w:r>
      <w:r w:rsidRPr="006D7DAE">
        <w:rPr>
          <w:rFonts w:cstheme="minorHAnsi"/>
          <w:lang w:val="el-GR"/>
        </w:rPr>
        <w:t>ΕΚΤ - Στατιστικές για τους κατόχους διδακτορικού τίτλου</w:t>
      </w:r>
      <w:r w:rsidRPr="006D7DAE">
        <w:rPr>
          <w:rFonts w:cstheme="minorHAnsi"/>
          <w:lang w:val="el-GR"/>
        </w:rPr>
        <w:br/>
      </w:r>
      <w:hyperlink r:id="rId14" w:history="1">
        <w:r w:rsidRPr="006D7DAE">
          <w:rPr>
            <w:rStyle w:val="Hyperlink"/>
            <w:rFonts w:cstheme="minorHAnsi"/>
          </w:rPr>
          <w:t>https</w:t>
        </w:r>
        <w:r w:rsidRPr="006D7DAE">
          <w:rPr>
            <w:rStyle w:val="Hyperlink"/>
            <w:rFonts w:cstheme="minorHAnsi"/>
            <w:lang w:val="el-GR"/>
          </w:rPr>
          <w:t>://</w:t>
        </w:r>
        <w:r w:rsidRPr="006D7DAE">
          <w:rPr>
            <w:rStyle w:val="Hyperlink"/>
            <w:rFonts w:cstheme="minorHAnsi"/>
          </w:rPr>
          <w:t>metrics</w:t>
        </w:r>
        <w:r w:rsidRPr="006D7DAE">
          <w:rPr>
            <w:rStyle w:val="Hyperlink"/>
            <w:rFonts w:cstheme="minorHAnsi"/>
            <w:lang w:val="el-GR"/>
          </w:rPr>
          <w:t>.</w:t>
        </w:r>
        <w:r w:rsidRPr="006D7DAE">
          <w:rPr>
            <w:rStyle w:val="Hyperlink"/>
            <w:rFonts w:cstheme="minorHAnsi"/>
          </w:rPr>
          <w:t>ekt</w:t>
        </w:r>
        <w:r w:rsidRPr="006D7DAE">
          <w:rPr>
            <w:rStyle w:val="Hyperlink"/>
            <w:rFonts w:cstheme="minorHAnsi"/>
            <w:lang w:val="el-GR"/>
          </w:rPr>
          <w:t>.</w:t>
        </w:r>
        <w:r w:rsidRPr="006D7DAE">
          <w:rPr>
            <w:rStyle w:val="Hyperlink"/>
            <w:rFonts w:cstheme="minorHAnsi"/>
          </w:rPr>
          <w:t>gr</w:t>
        </w:r>
        <w:r w:rsidRPr="006D7DAE">
          <w:rPr>
            <w:rStyle w:val="Hyperlink"/>
            <w:rFonts w:cstheme="minorHAnsi"/>
            <w:lang w:val="el-GR"/>
          </w:rPr>
          <w:t>/</w:t>
        </w:r>
        <w:r w:rsidRPr="006D7DAE">
          <w:rPr>
            <w:rStyle w:val="Hyperlink"/>
            <w:rFonts w:cstheme="minorHAnsi"/>
          </w:rPr>
          <w:t>phd</w:t>
        </w:r>
        <w:r w:rsidRPr="006D7DAE">
          <w:rPr>
            <w:rStyle w:val="Hyperlink"/>
            <w:rFonts w:cstheme="minorHAnsi"/>
            <w:lang w:val="el-GR"/>
          </w:rPr>
          <w:t>-</w:t>
        </w:r>
        <w:r w:rsidRPr="006D7DAE">
          <w:rPr>
            <w:rStyle w:val="Hyperlink"/>
            <w:rFonts w:cstheme="minorHAnsi"/>
          </w:rPr>
          <w:t>holders</w:t>
        </w:r>
      </w:hyperlink>
    </w:p>
    <w:p w14:paraId="5966217A" w14:textId="6BFA1257" w:rsidR="005D59BB" w:rsidRPr="006D7DAE" w:rsidRDefault="005D59BB" w:rsidP="009D0EF3">
      <w:pPr>
        <w:spacing w:before="170"/>
        <w:rPr>
          <w:rFonts w:cstheme="minorHAnsi"/>
          <w:lang w:val="el-GR"/>
        </w:rPr>
      </w:pPr>
      <w:r w:rsidRPr="006D7DAE">
        <w:rPr>
          <w:rFonts w:cstheme="minorHAnsi"/>
          <w:lang w:val="el-GR"/>
        </w:rPr>
        <w:t>Εθνικό Αρχείο Διδακτορικών Διατριβών</w:t>
      </w:r>
      <w:r w:rsidRPr="006D7DAE">
        <w:rPr>
          <w:rFonts w:cstheme="minorHAnsi"/>
          <w:lang w:val="el-GR"/>
        </w:rPr>
        <w:br/>
      </w:r>
      <w:hyperlink r:id="rId15" w:history="1">
        <w:r w:rsidRPr="006D7DAE">
          <w:rPr>
            <w:rStyle w:val="Hyperlink"/>
            <w:rFonts w:cstheme="minorHAnsi"/>
            <w:lang w:val="el-GR"/>
          </w:rPr>
          <w:t>https://www.didaktorika.gr</w:t>
        </w:r>
      </w:hyperlink>
      <w:r w:rsidRPr="006D7DAE">
        <w:rPr>
          <w:rFonts w:cstheme="minorHAnsi"/>
          <w:lang w:val="el-GR"/>
        </w:rPr>
        <w:t xml:space="preserve"> </w:t>
      </w:r>
    </w:p>
    <w:p w14:paraId="7E1FC21E" w14:textId="2366E1F3" w:rsidR="00EC3996" w:rsidRPr="006D7DAE" w:rsidRDefault="009B0DF0" w:rsidP="00EC3996">
      <w:pPr>
        <w:spacing w:before="170"/>
        <w:rPr>
          <w:rFonts w:eastAsia="Batang" w:cstheme="minorHAnsi"/>
          <w:color w:val="0563C1" w:themeColor="hyperlink"/>
          <w:u w:val="single"/>
          <w:lang w:val="el-GR" w:eastAsia="el-GR"/>
        </w:rPr>
      </w:pPr>
      <w:r w:rsidRPr="006D7DAE">
        <w:rPr>
          <w:rFonts w:cstheme="minorHAnsi"/>
          <w:b/>
          <w:color w:val="262626" w:themeColor="text1" w:themeTint="D9"/>
          <w:sz w:val="24"/>
          <w:lang w:val="el-GR"/>
        </w:rPr>
        <w:t>Επικοινωνία για δημοσιογράφους</w:t>
      </w:r>
      <w:r w:rsidR="00BF2CC5" w:rsidRPr="006D7DAE">
        <w:rPr>
          <w:rFonts w:cstheme="minorHAnsi"/>
          <w:b/>
          <w:color w:val="262626" w:themeColor="text1" w:themeTint="D9"/>
          <w:sz w:val="24"/>
          <w:lang w:val="el-GR"/>
        </w:rPr>
        <w:br/>
      </w:r>
      <w:r w:rsidRPr="006D7DAE">
        <w:rPr>
          <w:rFonts w:cstheme="minorHAnsi"/>
          <w:color w:val="262626" w:themeColor="text1" w:themeTint="D9"/>
          <w:sz w:val="24"/>
          <w:lang w:val="el-GR"/>
        </w:rPr>
        <w:t>Εθνικό Κέντρο Τεκμηρίωσης και Ηλεκτρονικού Περιεχομένου (ΕΚΤ)</w:t>
      </w:r>
      <w:r w:rsidR="00BF2CC5" w:rsidRPr="006D7DAE">
        <w:rPr>
          <w:rFonts w:cstheme="minorHAnsi"/>
          <w:color w:val="262626" w:themeColor="text1" w:themeTint="D9"/>
          <w:sz w:val="24"/>
          <w:lang w:val="el-GR"/>
        </w:rPr>
        <w:br/>
      </w:r>
      <w:r w:rsidRPr="006D7DAE">
        <w:rPr>
          <w:rFonts w:cstheme="minorHAnsi"/>
          <w:color w:val="262626" w:themeColor="text1" w:themeTint="D9"/>
          <w:sz w:val="24"/>
          <w:lang w:val="el-GR"/>
        </w:rPr>
        <w:t xml:space="preserve">Μαργαρίτης Προέδρου | Τ: 210 220 4941, </w:t>
      </w:r>
      <w:r w:rsidRPr="006D7DAE">
        <w:rPr>
          <w:rFonts w:cstheme="minorHAnsi"/>
          <w:color w:val="262626" w:themeColor="text1" w:themeTint="D9"/>
          <w:sz w:val="24"/>
        </w:rPr>
        <w:t>E</w:t>
      </w:r>
      <w:r w:rsidRPr="006D7DAE">
        <w:rPr>
          <w:rFonts w:cstheme="minorHAnsi"/>
          <w:color w:val="262626" w:themeColor="text1" w:themeTint="D9"/>
          <w:sz w:val="24"/>
          <w:lang w:val="el-GR"/>
        </w:rPr>
        <w:t>:</w:t>
      </w:r>
      <w:r w:rsidRPr="006D7DAE">
        <w:rPr>
          <w:rFonts w:eastAsia="Batang" w:cstheme="minorHAnsi"/>
          <w:lang w:val="el-GR" w:eastAsia="el-GR"/>
        </w:rPr>
        <w:t xml:space="preserve"> </w:t>
      </w:r>
      <w:hyperlink r:id="rId16">
        <w:r w:rsidRPr="006D7DAE">
          <w:rPr>
            <w:rStyle w:val="InternetLink"/>
            <w:rFonts w:eastAsia="Batang" w:cstheme="minorHAnsi"/>
            <w:lang w:eastAsia="el-GR"/>
          </w:rPr>
          <w:t>mproed</w:t>
        </w:r>
        <w:r w:rsidRPr="006D7DAE">
          <w:rPr>
            <w:rStyle w:val="InternetLink"/>
            <w:rFonts w:eastAsia="Batang" w:cstheme="minorHAnsi"/>
            <w:lang w:val="el-GR" w:eastAsia="el-GR"/>
          </w:rPr>
          <w:t>@</w:t>
        </w:r>
        <w:r w:rsidRPr="006D7DAE">
          <w:rPr>
            <w:rStyle w:val="InternetLink"/>
            <w:rFonts w:eastAsia="Batang" w:cstheme="minorHAnsi"/>
            <w:lang w:eastAsia="el-GR"/>
          </w:rPr>
          <w:t>ekt</w:t>
        </w:r>
        <w:r w:rsidRPr="006D7DAE">
          <w:rPr>
            <w:rStyle w:val="InternetLink"/>
            <w:rFonts w:eastAsia="Batang" w:cstheme="minorHAnsi"/>
            <w:lang w:val="el-GR" w:eastAsia="el-GR"/>
          </w:rPr>
          <w:t>.</w:t>
        </w:r>
        <w:r w:rsidRPr="006D7DAE">
          <w:rPr>
            <w:rStyle w:val="InternetLink"/>
            <w:rFonts w:eastAsia="Batang" w:cstheme="minorHAnsi"/>
            <w:lang w:eastAsia="el-GR"/>
          </w:rPr>
          <w:t>gr</w:t>
        </w:r>
      </w:hyperlink>
    </w:p>
    <w:p w14:paraId="76C73D0C" w14:textId="77777777" w:rsidR="00D95BCD" w:rsidRPr="006D7DAE" w:rsidRDefault="00D95BCD" w:rsidP="00EC3996">
      <w:pPr>
        <w:spacing w:after="0" w:line="240" w:lineRule="auto"/>
        <w:rPr>
          <w:rFonts w:cstheme="minorHAnsi"/>
          <w:b/>
          <w:i/>
          <w:color w:val="262626" w:themeColor="text1" w:themeTint="D9"/>
          <w:sz w:val="24"/>
          <w:lang w:val="el-GR"/>
        </w:rPr>
      </w:pPr>
    </w:p>
    <w:p w14:paraId="5859E2C5" w14:textId="77777777" w:rsidR="003F48F8" w:rsidRDefault="003F48F8" w:rsidP="003F48F8">
      <w:pPr>
        <w:spacing w:after="0" w:line="240" w:lineRule="auto"/>
        <w:jc w:val="both"/>
        <w:rPr>
          <w:rFonts w:cstheme="majorHAnsi"/>
          <w:b/>
          <w:i/>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p>
    <w:p w14:paraId="0B5D724A" w14:textId="77777777" w:rsidR="003F48F8" w:rsidRDefault="003F48F8" w:rsidP="003F48F8">
      <w:pPr>
        <w:spacing w:after="0" w:line="240" w:lineRule="auto"/>
        <w:jc w:val="both"/>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Pr="008B4793">
        <w:rPr>
          <w:rStyle w:val="Emphasis"/>
          <w:rFonts w:cstheme="minorHAnsi"/>
          <w:color w:val="000000"/>
          <w:szCs w:val="21"/>
          <w:shd w:val="clear" w:color="auto" w:fill="FFFFFF"/>
        </w:rPr>
        <w:t>EKT</w:t>
      </w:r>
      <w:r w:rsidRPr="008B4793">
        <w:rPr>
          <w:rStyle w:val="Emphasis"/>
          <w:rFonts w:cstheme="minorHAnsi"/>
          <w:color w:val="000000"/>
          <w:szCs w:val="21"/>
          <w:shd w:val="clear" w:color="auto" w:fill="FFFFFF"/>
          <w:lang w:val="el-GR"/>
        </w:rPr>
        <w:t>) (</w:t>
      </w:r>
      <w:hyperlink r:id="rId17" w:history="1">
        <w:r w:rsidRPr="008B4793">
          <w:rPr>
            <w:rStyle w:val="Hyperlink"/>
            <w:rFonts w:cstheme="minorHAnsi"/>
            <w:szCs w:val="21"/>
            <w:shd w:val="clear" w:color="auto" w:fill="FFFFFF"/>
          </w:rPr>
          <w:t>www</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ekt</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gr</w:t>
        </w:r>
      </w:hyperlink>
      <w:r w:rsidRPr="008B4793">
        <w:rPr>
          <w:rStyle w:val="Emphasis"/>
          <w:rFonts w:cstheme="minorHAnsi"/>
          <w:color w:val="000000"/>
          <w:szCs w:val="21"/>
          <w:shd w:val="clear" w:color="auto" w:fill="FFFFFF"/>
          <w:lang w:val="el-GR"/>
        </w:rPr>
        <w:t xml:space="preserve">), 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w:t>
      </w:r>
      <w:r w:rsidRPr="008B4793">
        <w:rPr>
          <w:rStyle w:val="Emphasis"/>
          <w:rFonts w:cstheme="minorHAnsi"/>
          <w:color w:val="000000"/>
          <w:szCs w:val="21"/>
          <w:shd w:val="clear" w:color="auto" w:fill="FFFFFF"/>
          <w:lang w:val="el-GR"/>
        </w:rPr>
        <w:lastRenderedPageBreak/>
        <w:t>πληροφορίας, περιεχομένου και δεδομένων,</w:t>
      </w:r>
      <w:r w:rsidRPr="008B4793">
        <w:rPr>
          <w:rStyle w:val="Emphasis"/>
          <w:rFonts w:cstheme="minorHAnsi"/>
          <w:color w:val="000000"/>
          <w:szCs w:val="21"/>
          <w:shd w:val="clear" w:color="auto" w:fill="FFFFFF"/>
        </w:rPr>
        <w:t> </w:t>
      </w:r>
      <w:r w:rsidRPr="008B4793">
        <w:rPr>
          <w:rStyle w:val="Emphasis"/>
          <w:rFonts w:cstheme="minorHAnsi"/>
          <w:color w:val="000000"/>
          <w:szCs w:val="21"/>
          <w:shd w:val="clear" w:color="auto" w:fill="FFFFFF"/>
          <w:lang w:val="el-GR"/>
        </w:rPr>
        <w:t xml:space="preserve"> που παράγονται στην Ελλάδα. Με σύγχρονες τεχνολογικές υποδομές, υψηλή τεχνογνωσία και προσωπικό υψηλής κατάρτισης και εξειδίκευσης, το ΕΚΤ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p>
    <w:p w14:paraId="1AF648BE" w14:textId="77777777" w:rsidR="003F48F8" w:rsidRPr="00172C04" w:rsidRDefault="003F48F8" w:rsidP="003F48F8">
      <w:pPr>
        <w:spacing w:after="0" w:line="240" w:lineRule="auto"/>
        <w:rPr>
          <w:rStyle w:val="Emphasis"/>
          <w:rFonts w:cstheme="majorHAnsi"/>
          <w:b/>
          <w:iCs w:val="0"/>
          <w:color w:val="262626" w:themeColor="text1" w:themeTint="D9"/>
          <w:sz w:val="24"/>
          <w:lang w:val="el-GR"/>
        </w:rPr>
      </w:pPr>
      <w:r w:rsidRPr="008B4793">
        <w:rPr>
          <w:rStyle w:val="Emphasis"/>
          <w:rFonts w:cstheme="minorHAnsi"/>
          <w:color w:val="000000"/>
          <w:szCs w:val="21"/>
          <w:shd w:val="clear" w:color="auto" w:fill="FFFFFF"/>
          <w:lang w:val="el-GR"/>
        </w:rPr>
        <w:t>• Συλλέγει, τεκμηριώνει και διαθέτει για περαιτέρω χρήση, ως δημόσια δεδομένα, έγκριτο ψηφιακό περιεχόμενο επιστήμης και πολιτισμού.</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Παράγει τα επίσημα στατιστικά στοιχεία της χώρας μας για τις ευρωπαϊκές στατιστικές Έρευνας, Ανάπτυξης και Καινοτομίας. Διεξάγει έρευνες, συλλέγει στοιχεία και παράγει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14:paraId="75515BEA" w14:textId="77777777" w:rsidR="003F48F8" w:rsidRDefault="003F48F8" w:rsidP="003F48F8">
      <w:pPr>
        <w:spacing w:after="0"/>
        <w:rPr>
          <w:i/>
          <w:lang w:val="el-GR" w:eastAsia="el-GR"/>
        </w:rPr>
      </w:pPr>
      <w:r w:rsidRPr="008B4793">
        <w:rPr>
          <w:rStyle w:val="Emphasis"/>
          <w:rFonts w:cstheme="minorHAnsi"/>
          <w:color w:val="000000"/>
          <w:szCs w:val="21"/>
          <w:shd w:val="clear" w:color="auto" w:fill="FFFFFF"/>
          <w:lang w:val="el-GR"/>
        </w:rPr>
        <w:t>• Υποστηρίζει τις επιχειρήσεις ώστε να δικτυωθούν, να γίνουν εξωστρεφείς και να συνεργαστούν με την ερευνητική κοινότητα.</w:t>
      </w:r>
    </w:p>
    <w:p w14:paraId="1010A855" w14:textId="1AE82ED8" w:rsidR="004A2D3B" w:rsidRPr="006D7DAE" w:rsidRDefault="004A2D3B" w:rsidP="00FD009B">
      <w:pPr>
        <w:spacing w:after="0"/>
        <w:rPr>
          <w:rFonts w:cstheme="minorHAnsi"/>
          <w:i/>
          <w:lang w:val="el-GR" w:eastAsia="el-GR"/>
        </w:rPr>
      </w:pPr>
      <w:r w:rsidRPr="006D7DAE">
        <w:rPr>
          <w:rFonts w:cstheme="minorHAnsi"/>
          <w:i/>
          <w:iCs/>
          <w:color w:val="000000"/>
          <w:sz w:val="21"/>
          <w:szCs w:val="21"/>
          <w:shd w:val="clear" w:color="auto" w:fill="FFFFFF"/>
          <w:lang w:val="el-GR"/>
        </w:rPr>
        <w:br/>
      </w:r>
    </w:p>
    <w:p w14:paraId="7CC8F912" w14:textId="4A52E886" w:rsidR="009B0DF0" w:rsidRPr="006D7DAE" w:rsidRDefault="009B0DF0" w:rsidP="009B0DF0">
      <w:pPr>
        <w:jc w:val="both"/>
        <w:rPr>
          <w:rFonts w:eastAsia="Batang" w:cstheme="minorHAnsi"/>
          <w:i/>
          <w:sz w:val="18"/>
          <w:szCs w:val="18"/>
          <w:lang w:val="el-GR" w:eastAsia="el-GR"/>
        </w:rPr>
      </w:pPr>
    </w:p>
    <w:p w14:paraId="45081AB4" w14:textId="77777777" w:rsidR="00C70819" w:rsidRPr="006D7DAE" w:rsidRDefault="00C70819" w:rsidP="00044A7D">
      <w:pPr>
        <w:spacing w:after="0" w:line="240" w:lineRule="auto"/>
        <w:jc w:val="both"/>
        <w:rPr>
          <w:rFonts w:cstheme="minorHAnsi"/>
          <w:lang w:val="el-GR"/>
        </w:rPr>
      </w:pPr>
    </w:p>
    <w:p w14:paraId="62F54C45" w14:textId="77777777" w:rsidR="00DC5204" w:rsidRPr="006D7DAE" w:rsidRDefault="00DC5204">
      <w:pPr>
        <w:spacing w:after="0" w:line="240" w:lineRule="auto"/>
        <w:rPr>
          <w:rFonts w:cstheme="minorHAnsi"/>
          <w:lang w:val="el-GR"/>
        </w:rPr>
      </w:pPr>
      <w:r w:rsidRPr="006D7DAE">
        <w:rPr>
          <w:rFonts w:cstheme="minorHAnsi"/>
          <w:lang w:val="el-GR"/>
        </w:rPr>
        <w:br w:type="page"/>
      </w:r>
    </w:p>
    <w:p w14:paraId="777BEDF2" w14:textId="366DA0CA" w:rsidR="002C0EAE" w:rsidRPr="006D7DAE" w:rsidRDefault="001A2696" w:rsidP="002C0EAE">
      <w:pPr>
        <w:jc w:val="both"/>
        <w:rPr>
          <w:rFonts w:cstheme="minorHAnsi"/>
          <w:b/>
          <w:sz w:val="28"/>
          <w:lang w:val="el-GR"/>
        </w:rPr>
      </w:pPr>
      <w:r w:rsidRPr="006D7DAE">
        <w:rPr>
          <w:rFonts w:cstheme="minorHAnsi"/>
          <w:b/>
          <w:sz w:val="28"/>
        </w:rPr>
        <w:lastRenderedPageBreak/>
        <w:t>Infographics</w:t>
      </w:r>
      <w:r w:rsidRPr="006D7DAE">
        <w:rPr>
          <w:rFonts w:cstheme="minorHAnsi"/>
          <w:b/>
          <w:sz w:val="28"/>
          <w:lang w:val="el-GR"/>
        </w:rPr>
        <w:t xml:space="preserve"> για τους διδάκτορες που αποφοίτησαν από τα ελληνικά ΑΕΙ το 202</w:t>
      </w:r>
      <w:r w:rsidR="00FD015D" w:rsidRPr="006D7DAE">
        <w:rPr>
          <w:rFonts w:cstheme="minorHAnsi"/>
          <w:b/>
          <w:sz w:val="28"/>
          <w:lang w:val="el-GR"/>
        </w:rPr>
        <w:t>3</w:t>
      </w:r>
    </w:p>
    <w:p w14:paraId="648C48B3" w14:textId="07F5DF01" w:rsidR="002A2E0B" w:rsidRPr="005C27E7" w:rsidRDefault="00D37362" w:rsidP="003251FE">
      <w:pPr>
        <w:jc w:val="both"/>
        <w:rPr>
          <w:rFonts w:cstheme="minorHAnsi"/>
          <w:iCs/>
          <w:noProof/>
          <w:sz w:val="18"/>
          <w:lang w:val="el-GR"/>
        </w:rPr>
      </w:pPr>
      <w:r>
        <w:rPr>
          <w:rFonts w:cstheme="minorHAnsi"/>
          <w:iCs/>
          <w:noProof/>
          <w:sz w:val="18"/>
        </w:rPr>
        <w:drawing>
          <wp:inline distT="0" distB="0" distL="0" distR="0" wp14:anchorId="11868C15" wp14:editId="09D9EA15">
            <wp:extent cx="6570133" cy="36957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G"/>
                    <pic:cNvPicPr/>
                  </pic:nvPicPr>
                  <pic:blipFill>
                    <a:blip r:embed="rId18">
                      <a:extLst>
                        <a:ext uri="{28A0092B-C50C-407E-A947-70E740481C1C}">
                          <a14:useLocalDpi xmlns:a14="http://schemas.microsoft.com/office/drawing/2010/main" val="0"/>
                        </a:ext>
                      </a:extLst>
                    </a:blip>
                    <a:stretch>
                      <a:fillRect/>
                    </a:stretch>
                  </pic:blipFill>
                  <pic:spPr>
                    <a:xfrm>
                      <a:off x="0" y="0"/>
                      <a:ext cx="6572294" cy="3696916"/>
                    </a:xfrm>
                    <a:prstGeom prst="rect">
                      <a:avLst/>
                    </a:prstGeom>
                  </pic:spPr>
                </pic:pic>
              </a:graphicData>
            </a:graphic>
          </wp:inline>
        </w:drawing>
      </w:r>
      <w:r>
        <w:rPr>
          <w:rFonts w:cstheme="minorHAnsi"/>
          <w:iCs/>
          <w:noProof/>
          <w:sz w:val="18"/>
          <w:lang w:val="el-GR"/>
        </w:rPr>
        <w:br/>
      </w:r>
    </w:p>
    <w:p w14:paraId="3FF0D818" w14:textId="24592AE5" w:rsidR="001A2696" w:rsidRPr="005C27E7" w:rsidRDefault="00D37362" w:rsidP="003251FE">
      <w:pPr>
        <w:jc w:val="both"/>
        <w:rPr>
          <w:rFonts w:cstheme="minorHAnsi"/>
          <w:iCs/>
          <w:noProof/>
          <w:sz w:val="18"/>
          <w:lang w:val="el-GR"/>
        </w:rPr>
      </w:pPr>
      <w:r>
        <w:rPr>
          <w:rFonts w:cstheme="minorHAnsi"/>
          <w:iCs/>
          <w:noProof/>
          <w:sz w:val="18"/>
        </w:rPr>
        <w:drawing>
          <wp:inline distT="0" distB="0" distL="0" distR="0" wp14:anchorId="0BCF4A44" wp14:editId="790499F3">
            <wp:extent cx="6654800" cy="3743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2.JPG"/>
                    <pic:cNvPicPr/>
                  </pic:nvPicPr>
                  <pic:blipFill>
                    <a:blip r:embed="rId19">
                      <a:extLst>
                        <a:ext uri="{28A0092B-C50C-407E-A947-70E740481C1C}">
                          <a14:useLocalDpi xmlns:a14="http://schemas.microsoft.com/office/drawing/2010/main" val="0"/>
                        </a:ext>
                      </a:extLst>
                    </a:blip>
                    <a:stretch>
                      <a:fillRect/>
                    </a:stretch>
                  </pic:blipFill>
                  <pic:spPr>
                    <a:xfrm>
                      <a:off x="0" y="0"/>
                      <a:ext cx="6658334" cy="3745313"/>
                    </a:xfrm>
                    <a:prstGeom prst="rect">
                      <a:avLst/>
                    </a:prstGeom>
                  </pic:spPr>
                </pic:pic>
              </a:graphicData>
            </a:graphic>
          </wp:inline>
        </w:drawing>
      </w:r>
    </w:p>
    <w:p w14:paraId="0D797789" w14:textId="14302ABF" w:rsidR="001A2696" w:rsidRPr="005C27E7" w:rsidRDefault="001A2696" w:rsidP="003251FE">
      <w:pPr>
        <w:jc w:val="both"/>
        <w:rPr>
          <w:rFonts w:cstheme="minorHAnsi"/>
          <w:iCs/>
          <w:noProof/>
          <w:sz w:val="18"/>
          <w:lang w:val="el-GR"/>
        </w:rPr>
      </w:pPr>
    </w:p>
    <w:p w14:paraId="4B6A9DE0" w14:textId="4C3D4BB1" w:rsidR="001A2696" w:rsidRDefault="00B86FDB" w:rsidP="003251FE">
      <w:pPr>
        <w:jc w:val="both"/>
        <w:rPr>
          <w:rFonts w:cstheme="minorHAnsi"/>
          <w:iCs/>
          <w:noProof/>
          <w:sz w:val="18"/>
          <w:lang w:val="el-GR"/>
        </w:rPr>
      </w:pPr>
      <w:r>
        <w:rPr>
          <w:rFonts w:cstheme="minorHAnsi"/>
          <w:iCs/>
          <w:noProof/>
          <w:sz w:val="18"/>
        </w:rPr>
        <w:lastRenderedPageBreak/>
        <w:drawing>
          <wp:inline distT="0" distB="0" distL="0" distR="0" wp14:anchorId="3FDFC3B0" wp14:editId="4499D7E9">
            <wp:extent cx="6410325" cy="36060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5.JPG"/>
                    <pic:cNvPicPr/>
                  </pic:nvPicPr>
                  <pic:blipFill>
                    <a:blip r:embed="rId20">
                      <a:extLst>
                        <a:ext uri="{28A0092B-C50C-407E-A947-70E740481C1C}">
                          <a14:useLocalDpi xmlns:a14="http://schemas.microsoft.com/office/drawing/2010/main" val="0"/>
                        </a:ext>
                      </a:extLst>
                    </a:blip>
                    <a:stretch>
                      <a:fillRect/>
                    </a:stretch>
                  </pic:blipFill>
                  <pic:spPr>
                    <a:xfrm>
                      <a:off x="0" y="0"/>
                      <a:ext cx="6413600" cy="3607886"/>
                    </a:xfrm>
                    <a:prstGeom prst="rect">
                      <a:avLst/>
                    </a:prstGeom>
                  </pic:spPr>
                </pic:pic>
              </a:graphicData>
            </a:graphic>
          </wp:inline>
        </w:drawing>
      </w:r>
    </w:p>
    <w:p w14:paraId="668D952C" w14:textId="77777777" w:rsidR="00B86FDB" w:rsidRPr="005C27E7" w:rsidRDefault="00B86FDB" w:rsidP="003251FE">
      <w:pPr>
        <w:jc w:val="both"/>
        <w:rPr>
          <w:rFonts w:cstheme="minorHAnsi"/>
          <w:iCs/>
          <w:noProof/>
          <w:sz w:val="18"/>
          <w:lang w:val="el-GR"/>
        </w:rPr>
      </w:pPr>
    </w:p>
    <w:p w14:paraId="441B7336" w14:textId="77777777" w:rsidR="00B86FDB" w:rsidRDefault="00D37362" w:rsidP="003251FE">
      <w:pPr>
        <w:jc w:val="both"/>
        <w:rPr>
          <w:rFonts w:cstheme="minorHAnsi"/>
          <w:iCs/>
          <w:noProof/>
          <w:sz w:val="18"/>
          <w:lang w:val="el-GR"/>
        </w:rPr>
      </w:pPr>
      <w:r>
        <w:rPr>
          <w:rFonts w:cstheme="minorHAnsi"/>
          <w:iCs/>
          <w:noProof/>
          <w:sz w:val="18"/>
        </w:rPr>
        <w:drawing>
          <wp:inline distT="0" distB="0" distL="0" distR="0" wp14:anchorId="46B94CD8" wp14:editId="69F50B23">
            <wp:extent cx="6587067" cy="37052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3.JPG"/>
                    <pic:cNvPicPr/>
                  </pic:nvPicPr>
                  <pic:blipFill>
                    <a:blip r:embed="rId21">
                      <a:extLst>
                        <a:ext uri="{28A0092B-C50C-407E-A947-70E740481C1C}">
                          <a14:useLocalDpi xmlns:a14="http://schemas.microsoft.com/office/drawing/2010/main" val="0"/>
                        </a:ext>
                      </a:extLst>
                    </a:blip>
                    <a:stretch>
                      <a:fillRect/>
                    </a:stretch>
                  </pic:blipFill>
                  <pic:spPr>
                    <a:xfrm>
                      <a:off x="0" y="0"/>
                      <a:ext cx="6590122" cy="3706943"/>
                    </a:xfrm>
                    <a:prstGeom prst="rect">
                      <a:avLst/>
                    </a:prstGeom>
                  </pic:spPr>
                </pic:pic>
              </a:graphicData>
            </a:graphic>
          </wp:inline>
        </w:drawing>
      </w:r>
    </w:p>
    <w:p w14:paraId="69C75191" w14:textId="60ADE659" w:rsidR="001A2696" w:rsidRPr="005C27E7" w:rsidRDefault="00D37362" w:rsidP="003251FE">
      <w:pPr>
        <w:jc w:val="both"/>
        <w:rPr>
          <w:rFonts w:cstheme="minorHAnsi"/>
          <w:iCs/>
          <w:noProof/>
          <w:sz w:val="18"/>
          <w:lang w:val="el-GR"/>
        </w:rPr>
      </w:pPr>
      <w:r>
        <w:rPr>
          <w:rFonts w:cstheme="minorHAnsi"/>
          <w:iCs/>
          <w:noProof/>
          <w:sz w:val="18"/>
          <w:lang w:val="el-GR"/>
        </w:rPr>
        <w:br/>
      </w:r>
      <w:r>
        <w:rPr>
          <w:rFonts w:cstheme="minorHAnsi"/>
          <w:iCs/>
          <w:noProof/>
          <w:sz w:val="18"/>
          <w:lang w:val="el-GR"/>
        </w:rPr>
        <w:br/>
      </w:r>
      <w:r>
        <w:rPr>
          <w:rFonts w:cstheme="minorHAnsi"/>
          <w:iCs/>
          <w:noProof/>
          <w:sz w:val="18"/>
        </w:rPr>
        <w:lastRenderedPageBreak/>
        <w:drawing>
          <wp:inline distT="0" distB="0" distL="0" distR="0" wp14:anchorId="1C1091D1" wp14:editId="21F6F327">
            <wp:extent cx="6451600" cy="3629025"/>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4.JPG"/>
                    <pic:cNvPicPr/>
                  </pic:nvPicPr>
                  <pic:blipFill>
                    <a:blip r:embed="rId22">
                      <a:extLst>
                        <a:ext uri="{28A0092B-C50C-407E-A947-70E740481C1C}">
                          <a14:useLocalDpi xmlns:a14="http://schemas.microsoft.com/office/drawing/2010/main" val="0"/>
                        </a:ext>
                      </a:extLst>
                    </a:blip>
                    <a:stretch>
                      <a:fillRect/>
                    </a:stretch>
                  </pic:blipFill>
                  <pic:spPr>
                    <a:xfrm>
                      <a:off x="0" y="0"/>
                      <a:ext cx="6455111" cy="3631000"/>
                    </a:xfrm>
                    <a:prstGeom prst="rect">
                      <a:avLst/>
                    </a:prstGeom>
                  </pic:spPr>
                </pic:pic>
              </a:graphicData>
            </a:graphic>
          </wp:inline>
        </w:drawing>
      </w:r>
      <w:r>
        <w:rPr>
          <w:rFonts w:cstheme="minorHAnsi"/>
          <w:iCs/>
          <w:noProof/>
          <w:sz w:val="18"/>
          <w:lang w:val="el-GR"/>
        </w:rPr>
        <w:br/>
      </w:r>
      <w:r>
        <w:rPr>
          <w:rFonts w:cstheme="minorHAnsi"/>
          <w:iCs/>
          <w:noProof/>
          <w:sz w:val="18"/>
          <w:lang w:val="el-GR"/>
        </w:rPr>
        <w:br/>
      </w:r>
      <w:r>
        <w:rPr>
          <w:rFonts w:cstheme="minorHAnsi"/>
          <w:iCs/>
          <w:noProof/>
          <w:sz w:val="18"/>
          <w:lang w:val="el-GR"/>
        </w:rPr>
        <w:br/>
      </w:r>
    </w:p>
    <w:p w14:paraId="4ABA27EE" w14:textId="32CADB43" w:rsidR="001A2696" w:rsidRPr="005C27E7" w:rsidRDefault="001A2696" w:rsidP="003251FE">
      <w:pPr>
        <w:jc w:val="both"/>
        <w:rPr>
          <w:rFonts w:cstheme="minorHAnsi"/>
          <w:iCs/>
          <w:noProof/>
          <w:sz w:val="18"/>
          <w:lang w:val="el-GR"/>
        </w:rPr>
      </w:pPr>
    </w:p>
    <w:p w14:paraId="6003A7C0" w14:textId="5D128B1C" w:rsidR="009F3054" w:rsidRPr="006D7DAE" w:rsidRDefault="009F3054" w:rsidP="003251FE">
      <w:pPr>
        <w:jc w:val="both"/>
        <w:rPr>
          <w:rFonts w:cstheme="minorHAnsi"/>
          <w:iCs/>
          <w:noProof/>
          <w:sz w:val="18"/>
          <w:lang w:val="el-GR"/>
        </w:rPr>
      </w:pPr>
    </w:p>
    <w:p w14:paraId="18019399" w14:textId="7DD0CE62" w:rsidR="002A2E0B" w:rsidRPr="005C27E7" w:rsidRDefault="002A2E0B" w:rsidP="003251FE">
      <w:pPr>
        <w:jc w:val="both"/>
        <w:rPr>
          <w:rFonts w:cstheme="minorHAnsi"/>
          <w:iCs/>
          <w:noProof/>
          <w:sz w:val="18"/>
          <w:lang w:val="el-GR"/>
        </w:rPr>
      </w:pPr>
    </w:p>
    <w:p w14:paraId="5E9B720A" w14:textId="706A1611" w:rsidR="002A2E0B" w:rsidRPr="006D7DAE" w:rsidRDefault="002A2E0B" w:rsidP="002C0EAE">
      <w:pPr>
        <w:jc w:val="both"/>
        <w:rPr>
          <w:rFonts w:cstheme="minorHAnsi"/>
          <w:b/>
          <w:szCs w:val="24"/>
          <w:lang w:val="el-GR"/>
        </w:rPr>
      </w:pPr>
    </w:p>
    <w:p w14:paraId="11B8FF4F" w14:textId="1D72702B" w:rsidR="00B5499D" w:rsidRDefault="00B5499D" w:rsidP="002C0EAE">
      <w:pPr>
        <w:jc w:val="both"/>
        <w:rPr>
          <w:rFonts w:cstheme="minorHAnsi"/>
          <w:b/>
          <w:szCs w:val="24"/>
          <w:lang w:val="el-GR"/>
        </w:rPr>
      </w:pPr>
    </w:p>
    <w:p w14:paraId="4FA84F84" w14:textId="6EF71A38" w:rsidR="00B5499D" w:rsidRPr="00B5499D" w:rsidRDefault="00B5499D" w:rsidP="00B5499D">
      <w:pPr>
        <w:rPr>
          <w:rFonts w:cstheme="minorHAnsi"/>
          <w:szCs w:val="24"/>
          <w:lang w:val="el-GR"/>
        </w:rPr>
      </w:pPr>
    </w:p>
    <w:p w14:paraId="0AACF535" w14:textId="4B09AFA2" w:rsidR="00B5499D" w:rsidRPr="00B5499D" w:rsidRDefault="00B5499D" w:rsidP="00B5499D">
      <w:pPr>
        <w:rPr>
          <w:rFonts w:cstheme="minorHAnsi"/>
          <w:szCs w:val="24"/>
          <w:lang w:val="el-GR"/>
        </w:rPr>
      </w:pPr>
    </w:p>
    <w:p w14:paraId="34BF0F0F" w14:textId="229E488B" w:rsidR="00B5499D" w:rsidRPr="00B5499D" w:rsidRDefault="00B5499D" w:rsidP="00B5499D">
      <w:pPr>
        <w:tabs>
          <w:tab w:val="left" w:pos="8115"/>
        </w:tabs>
        <w:rPr>
          <w:rFonts w:cstheme="minorHAnsi"/>
          <w:szCs w:val="24"/>
          <w:lang w:val="el-GR"/>
        </w:rPr>
      </w:pPr>
      <w:r>
        <w:rPr>
          <w:rFonts w:cstheme="minorHAnsi"/>
          <w:szCs w:val="24"/>
          <w:lang w:val="el-GR"/>
        </w:rPr>
        <w:tab/>
      </w:r>
    </w:p>
    <w:p w14:paraId="571A9C26" w14:textId="33DBE428" w:rsidR="00B5499D" w:rsidRPr="00B5499D" w:rsidRDefault="00B5499D" w:rsidP="00B5499D">
      <w:pPr>
        <w:rPr>
          <w:rFonts w:cstheme="minorHAnsi"/>
          <w:szCs w:val="24"/>
          <w:lang w:val="el-GR"/>
        </w:rPr>
      </w:pPr>
    </w:p>
    <w:p w14:paraId="1E9D263A" w14:textId="415C2015" w:rsidR="00B5499D" w:rsidRPr="00B5499D" w:rsidRDefault="00B5499D" w:rsidP="00B5499D">
      <w:pPr>
        <w:rPr>
          <w:rFonts w:cstheme="minorHAnsi"/>
          <w:szCs w:val="24"/>
          <w:lang w:val="el-GR"/>
        </w:rPr>
      </w:pPr>
    </w:p>
    <w:p w14:paraId="0B042A6F" w14:textId="77777777" w:rsidR="00B5499D" w:rsidRPr="00B5499D" w:rsidRDefault="00B5499D" w:rsidP="00B5499D">
      <w:pPr>
        <w:rPr>
          <w:rFonts w:cstheme="minorHAnsi"/>
          <w:szCs w:val="24"/>
          <w:lang w:val="el-GR"/>
        </w:rPr>
      </w:pPr>
    </w:p>
    <w:p w14:paraId="60C66D7A" w14:textId="77777777" w:rsidR="00B5499D" w:rsidRPr="00B5499D" w:rsidRDefault="00B5499D" w:rsidP="00B5499D">
      <w:pPr>
        <w:rPr>
          <w:rFonts w:cstheme="minorHAnsi"/>
          <w:szCs w:val="24"/>
          <w:lang w:val="el-GR"/>
        </w:rPr>
      </w:pPr>
    </w:p>
    <w:p w14:paraId="6398AFB5" w14:textId="77777777" w:rsidR="00B5499D" w:rsidRPr="00B5499D" w:rsidRDefault="00B5499D" w:rsidP="00B5499D">
      <w:pPr>
        <w:rPr>
          <w:rFonts w:cstheme="minorHAnsi"/>
          <w:szCs w:val="24"/>
          <w:lang w:val="el-GR"/>
        </w:rPr>
      </w:pPr>
    </w:p>
    <w:sectPr w:rsidR="00B5499D" w:rsidRPr="00B5499D" w:rsidSect="00150A15">
      <w:headerReference w:type="default" r:id="rId23"/>
      <w:footerReference w:type="default" r:id="rId24"/>
      <w:headerReference w:type="first" r:id="rId25"/>
      <w:footerReference w:type="first" r:id="rId26"/>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1EF42" w14:textId="77777777" w:rsidR="00B86FDB" w:rsidRDefault="00B86FDB" w:rsidP="002E1873">
      <w:pPr>
        <w:spacing w:after="0" w:line="240" w:lineRule="auto"/>
      </w:pPr>
      <w:r>
        <w:separator/>
      </w:r>
    </w:p>
  </w:endnote>
  <w:endnote w:type="continuationSeparator" w:id="0">
    <w:p w14:paraId="4FEFA236" w14:textId="77777777" w:rsidR="00B86FDB" w:rsidRDefault="00B86FDB" w:rsidP="002E1873">
      <w:pPr>
        <w:spacing w:after="0" w:line="240" w:lineRule="auto"/>
      </w:pPr>
      <w:r>
        <w:continuationSeparator/>
      </w:r>
    </w:p>
  </w:endnote>
  <w:endnote w:type="continuationNotice" w:id="1">
    <w:p w14:paraId="6C457955" w14:textId="77777777" w:rsidR="00FA4AF2" w:rsidRDefault="00FA4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F DIN Std Light">
    <w:altName w:val="Calibri"/>
    <w:panose1 w:val="02000000000000000000"/>
    <w:charset w:val="00"/>
    <w:family w:val="modern"/>
    <w:notTrueType/>
    <w:pitch w:val="variable"/>
    <w:sig w:usb0="800000AF" w:usb1="5000205B" w:usb2="00000000" w:usb3="00000000" w:csb0="00000019"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CF Din Book">
    <w:altName w:val="Calibri"/>
    <w:panose1 w:val="02000506000000020004"/>
    <w:charset w:val="A1"/>
    <w:family w:val="auto"/>
    <w:pitch w:val="variable"/>
    <w:sig w:usb0="80000087" w:usb1="0000004A" w:usb2="00000000" w:usb3="00000000" w:csb0="00000008"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B86FDB" w:rsidRPr="0065360B" w:rsidRDefault="00B86FDB"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B86FDB" w:rsidRPr="00D41F9B" w:rsidRDefault="00B86FDB">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B86FDB" w:rsidRPr="0065360B" w:rsidRDefault="00B86FDB"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B86FDB" w:rsidRPr="005311F2" w:rsidRDefault="00B86FDB"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A71CA" w14:textId="77777777" w:rsidR="00B86FDB" w:rsidRDefault="00B86FDB" w:rsidP="002E1873">
      <w:pPr>
        <w:spacing w:after="0" w:line="240" w:lineRule="auto"/>
      </w:pPr>
      <w:r>
        <w:separator/>
      </w:r>
    </w:p>
  </w:footnote>
  <w:footnote w:type="continuationSeparator" w:id="0">
    <w:p w14:paraId="352F0DB8" w14:textId="77777777" w:rsidR="00B86FDB" w:rsidRDefault="00B86FDB" w:rsidP="002E1873">
      <w:pPr>
        <w:spacing w:after="0" w:line="240" w:lineRule="auto"/>
      </w:pPr>
      <w:r>
        <w:continuationSeparator/>
      </w:r>
    </w:p>
  </w:footnote>
  <w:footnote w:type="continuationNotice" w:id="1">
    <w:p w14:paraId="2F3C7FE2" w14:textId="77777777" w:rsidR="00FA4AF2" w:rsidRDefault="00FA4A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3BD9B176" w:rsidR="00B86FDB" w:rsidRPr="002A2E0B" w:rsidRDefault="00B86FDB" w:rsidP="005D59BB">
    <w:pPr>
      <w:spacing w:after="0" w:line="240" w:lineRule="auto"/>
      <w:rPr>
        <w:rFonts w:cstheme="majorHAnsi"/>
        <w:color w:val="262626" w:themeColor="text1" w:themeTint="D9"/>
        <w:sz w:val="20"/>
        <w:szCs w:val="20"/>
        <w:lang w:val="el-GR"/>
      </w:rPr>
    </w:pPr>
    <w:r w:rsidRPr="005D59BB">
      <w:rPr>
        <w:rFonts w:cstheme="majorHAnsi"/>
        <w:color w:val="262626" w:themeColor="text1" w:themeTint="D9"/>
        <w:sz w:val="20"/>
        <w:szCs w:val="20"/>
        <w:lang w:val="el-GR"/>
      </w:rPr>
      <w:t>Τα στατιστικά στοιχεία του ΕΚΤ για τους διδάκτορες που αποφοίτησαν από τα ελληνικά ΑΕΙ το 202</w:t>
    </w:r>
    <w:r w:rsidRPr="005C27E7">
      <w:rPr>
        <w:rFonts w:cstheme="majorHAnsi"/>
        <w:color w:val="262626" w:themeColor="text1" w:themeTint="D9"/>
        <w:sz w:val="20"/>
        <w:szCs w:val="20"/>
        <w:lang w:val="el-GR"/>
      </w:rPr>
      <w:t>3</w:t>
    </w:r>
    <w:r w:rsidRPr="005D59BB">
      <w:rPr>
        <w:rFonts w:cstheme="majorHAnsi"/>
        <w:color w:val="262626" w:themeColor="text1" w:themeTint="D9"/>
        <w:sz w:val="20"/>
        <w:szCs w:val="20"/>
        <w:lang w:val="el-GR"/>
      </w:rPr>
      <w:t xml:space="preserve"> </w:t>
    </w:r>
    <w:r w:rsidRPr="00D52861">
      <w:rPr>
        <w:sz w:val="20"/>
        <w:szCs w:val="20"/>
        <w:lang w:val="el-GR"/>
      </w:rPr>
      <w:t xml:space="preserve">| </w:t>
    </w:r>
    <w:r w:rsidRPr="00D52861">
      <w:rPr>
        <w:sz w:val="20"/>
        <w:szCs w:val="20"/>
        <w:lang w:val="el-GR" w:eastAsia="el-GR"/>
      </w:rPr>
      <w:t>ΕΚΤ</w:t>
    </w:r>
    <w:r>
      <w:rPr>
        <w:b/>
        <w:sz w:val="20"/>
        <w:szCs w:val="20"/>
        <w:lang w:val="el-GR" w:eastAsia="el-GR"/>
      </w:rPr>
      <w:t xml:space="preserve"> </w:t>
    </w:r>
    <w:r>
      <w:rPr>
        <w:sz w:val="20"/>
        <w:szCs w:val="20"/>
        <w:lang w:val="el-GR"/>
      </w:rPr>
      <w:t>|</w:t>
    </w:r>
    <w:r w:rsidRPr="00787C92">
      <w:rPr>
        <w:sz w:val="20"/>
        <w:szCs w:val="20"/>
        <w:lang w:val="el-GR"/>
      </w:rPr>
      <w:t xml:space="preserve"> </w:t>
    </w:r>
    <w:r>
      <w:rPr>
        <w:sz w:val="20"/>
        <w:szCs w:val="20"/>
        <w:lang w:val="el-GR"/>
      </w:rPr>
      <w:t>ΔΕΛΤΙΟ ΤΥΠΟΥ</w:t>
    </w:r>
    <w:r w:rsidRPr="002A2E0B">
      <w:rPr>
        <w:b/>
        <w:sz w:val="28"/>
        <w:lang w:val="el-GR" w:eastAsia="el-GR"/>
      </w:rPr>
      <w:t xml:space="preserve"> </w:t>
    </w:r>
    <w:r>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4B1D36DE" w:rsidR="00B86FDB" w:rsidRPr="00C64D12" w:rsidRDefault="00B86FDB" w:rsidP="00301D9A">
    <w:pPr>
      <w:pStyle w:val="1"/>
      <w:ind w:left="7200"/>
    </w:pPr>
    <w:r w:rsidRPr="00D41F9B">
      <w:rPr>
        <w:noProof/>
        <w:color w:val="3B3838" w:themeColor="background2" w:themeShade="40"/>
      </w:rPr>
      <w:drawing>
        <wp:anchor distT="0" distB="0" distL="114300" distR="114300" simplePos="0" relativeHeight="251658240"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Pr="006442B6">
      <w:rPr>
        <w:lang w:val="el-GR"/>
      </w:rPr>
      <w:t>Αθήνα,</w:t>
    </w:r>
    <w:r w:rsidRPr="006442B6">
      <w:t xml:space="preserve"> </w:t>
    </w:r>
    <w:r>
      <w:rPr>
        <w:lang w:val="el-GR"/>
      </w:rPr>
      <w:t>18</w:t>
    </w:r>
    <w:r>
      <w:t>.1</w:t>
    </w:r>
    <w:r>
      <w:rPr>
        <w:lang w:val="el-GR"/>
      </w:rPr>
      <w:t>2</w:t>
    </w:r>
    <w:r w:rsidRPr="006442B6">
      <w:rPr>
        <w:lang w:val="el-GR"/>
      </w:rPr>
      <w:t>.20</w:t>
    </w:r>
    <w:r w:rsidRPr="006442B6">
      <w:t>2</w:t>
    </w:r>
    <w:r>
      <w:t>4</w:t>
    </w:r>
  </w:p>
  <w:p w14:paraId="1C52C381" w14:textId="77777777" w:rsidR="00B86FDB" w:rsidRDefault="00B86FDB">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4478"/>
    <w:rsid w:val="000344E2"/>
    <w:rsid w:val="00036316"/>
    <w:rsid w:val="00043427"/>
    <w:rsid w:val="00044A7D"/>
    <w:rsid w:val="0005442B"/>
    <w:rsid w:val="00061794"/>
    <w:rsid w:val="00063D68"/>
    <w:rsid w:val="00064AAE"/>
    <w:rsid w:val="000665F7"/>
    <w:rsid w:val="00067AF1"/>
    <w:rsid w:val="000736AD"/>
    <w:rsid w:val="00075F01"/>
    <w:rsid w:val="00076CF9"/>
    <w:rsid w:val="000878D1"/>
    <w:rsid w:val="00090578"/>
    <w:rsid w:val="00092379"/>
    <w:rsid w:val="00097532"/>
    <w:rsid w:val="00097B1F"/>
    <w:rsid w:val="000B5EF3"/>
    <w:rsid w:val="000B6322"/>
    <w:rsid w:val="000C0313"/>
    <w:rsid w:val="000C2B72"/>
    <w:rsid w:val="000C46F9"/>
    <w:rsid w:val="000D1EF7"/>
    <w:rsid w:val="000E2EB0"/>
    <w:rsid w:val="000E670B"/>
    <w:rsid w:val="000F1B7A"/>
    <w:rsid w:val="000F3A7E"/>
    <w:rsid w:val="0010114E"/>
    <w:rsid w:val="00101C5B"/>
    <w:rsid w:val="00102FB3"/>
    <w:rsid w:val="00103B05"/>
    <w:rsid w:val="001055E6"/>
    <w:rsid w:val="00111A97"/>
    <w:rsid w:val="001132DE"/>
    <w:rsid w:val="001209AD"/>
    <w:rsid w:val="00121D68"/>
    <w:rsid w:val="0013453F"/>
    <w:rsid w:val="0013773A"/>
    <w:rsid w:val="0014272C"/>
    <w:rsid w:val="00150A15"/>
    <w:rsid w:val="001609C6"/>
    <w:rsid w:val="001643B5"/>
    <w:rsid w:val="001646C1"/>
    <w:rsid w:val="0016730D"/>
    <w:rsid w:val="00167EC5"/>
    <w:rsid w:val="0017374C"/>
    <w:rsid w:val="0017687E"/>
    <w:rsid w:val="001879A9"/>
    <w:rsid w:val="00192BAB"/>
    <w:rsid w:val="001A0C05"/>
    <w:rsid w:val="001A2696"/>
    <w:rsid w:val="001B4208"/>
    <w:rsid w:val="001C0973"/>
    <w:rsid w:val="001C128C"/>
    <w:rsid w:val="001C2B9D"/>
    <w:rsid w:val="001D5F59"/>
    <w:rsid w:val="001D60BF"/>
    <w:rsid w:val="001E15D2"/>
    <w:rsid w:val="001F1896"/>
    <w:rsid w:val="00204235"/>
    <w:rsid w:val="002043D7"/>
    <w:rsid w:val="00212827"/>
    <w:rsid w:val="00213507"/>
    <w:rsid w:val="0021492D"/>
    <w:rsid w:val="002208F1"/>
    <w:rsid w:val="00231BA2"/>
    <w:rsid w:val="0023529C"/>
    <w:rsid w:val="00241D75"/>
    <w:rsid w:val="002423F5"/>
    <w:rsid w:val="00243231"/>
    <w:rsid w:val="00251B73"/>
    <w:rsid w:val="00252880"/>
    <w:rsid w:val="002544D7"/>
    <w:rsid w:val="00261B93"/>
    <w:rsid w:val="00263A9B"/>
    <w:rsid w:val="00263EDD"/>
    <w:rsid w:val="00271C3E"/>
    <w:rsid w:val="00272D3B"/>
    <w:rsid w:val="002738C0"/>
    <w:rsid w:val="00276E4A"/>
    <w:rsid w:val="00277EF0"/>
    <w:rsid w:val="00281CCA"/>
    <w:rsid w:val="002877A3"/>
    <w:rsid w:val="00296D33"/>
    <w:rsid w:val="002A2E0B"/>
    <w:rsid w:val="002B3685"/>
    <w:rsid w:val="002B5D08"/>
    <w:rsid w:val="002C0EAE"/>
    <w:rsid w:val="002C28B5"/>
    <w:rsid w:val="002C2D3A"/>
    <w:rsid w:val="002C33D6"/>
    <w:rsid w:val="002E1539"/>
    <w:rsid w:val="002E1873"/>
    <w:rsid w:val="002F7DFE"/>
    <w:rsid w:val="003007F0"/>
    <w:rsid w:val="00300AE1"/>
    <w:rsid w:val="00301D9A"/>
    <w:rsid w:val="003031F6"/>
    <w:rsid w:val="003134E5"/>
    <w:rsid w:val="00315158"/>
    <w:rsid w:val="003211D8"/>
    <w:rsid w:val="003251FE"/>
    <w:rsid w:val="00330944"/>
    <w:rsid w:val="00332E2C"/>
    <w:rsid w:val="00334E51"/>
    <w:rsid w:val="00343A78"/>
    <w:rsid w:val="00345DDC"/>
    <w:rsid w:val="003511DC"/>
    <w:rsid w:val="003624E6"/>
    <w:rsid w:val="00375B24"/>
    <w:rsid w:val="00385BB7"/>
    <w:rsid w:val="0039097A"/>
    <w:rsid w:val="00392349"/>
    <w:rsid w:val="003A09FF"/>
    <w:rsid w:val="003A300F"/>
    <w:rsid w:val="003A43CD"/>
    <w:rsid w:val="003C25B8"/>
    <w:rsid w:val="003C3ED7"/>
    <w:rsid w:val="003D16B1"/>
    <w:rsid w:val="003D461D"/>
    <w:rsid w:val="003E32B8"/>
    <w:rsid w:val="003F48F8"/>
    <w:rsid w:val="00401A75"/>
    <w:rsid w:val="00405615"/>
    <w:rsid w:val="00421DA3"/>
    <w:rsid w:val="00427B63"/>
    <w:rsid w:val="00427B65"/>
    <w:rsid w:val="00442A6B"/>
    <w:rsid w:val="00444F66"/>
    <w:rsid w:val="00447DCF"/>
    <w:rsid w:val="004527A1"/>
    <w:rsid w:val="00462DDC"/>
    <w:rsid w:val="00464614"/>
    <w:rsid w:val="0047243A"/>
    <w:rsid w:val="0047722E"/>
    <w:rsid w:val="00477D8D"/>
    <w:rsid w:val="00486BF1"/>
    <w:rsid w:val="004A154F"/>
    <w:rsid w:val="004A2D3B"/>
    <w:rsid w:val="004A4E3B"/>
    <w:rsid w:val="004B2B64"/>
    <w:rsid w:val="004B48D6"/>
    <w:rsid w:val="004B7A0F"/>
    <w:rsid w:val="004C11AD"/>
    <w:rsid w:val="004C1E53"/>
    <w:rsid w:val="004C25BB"/>
    <w:rsid w:val="004D12A2"/>
    <w:rsid w:val="004D53CD"/>
    <w:rsid w:val="004D6CD8"/>
    <w:rsid w:val="004D7E4A"/>
    <w:rsid w:val="004E0CC8"/>
    <w:rsid w:val="004E3EBF"/>
    <w:rsid w:val="004E4B57"/>
    <w:rsid w:val="00501407"/>
    <w:rsid w:val="00510242"/>
    <w:rsid w:val="00511750"/>
    <w:rsid w:val="00517337"/>
    <w:rsid w:val="00524D61"/>
    <w:rsid w:val="00525759"/>
    <w:rsid w:val="00533CFB"/>
    <w:rsid w:val="0055587A"/>
    <w:rsid w:val="00561F1D"/>
    <w:rsid w:val="00567F3E"/>
    <w:rsid w:val="00570C2B"/>
    <w:rsid w:val="00577E88"/>
    <w:rsid w:val="00580476"/>
    <w:rsid w:val="005875F7"/>
    <w:rsid w:val="0059171C"/>
    <w:rsid w:val="005A0403"/>
    <w:rsid w:val="005A69FA"/>
    <w:rsid w:val="005B35A3"/>
    <w:rsid w:val="005B5961"/>
    <w:rsid w:val="005B61E5"/>
    <w:rsid w:val="005C27E7"/>
    <w:rsid w:val="005C31D8"/>
    <w:rsid w:val="005D291A"/>
    <w:rsid w:val="005D4304"/>
    <w:rsid w:val="005D4B49"/>
    <w:rsid w:val="005D59BB"/>
    <w:rsid w:val="005E031F"/>
    <w:rsid w:val="005F0D19"/>
    <w:rsid w:val="0060535A"/>
    <w:rsid w:val="00610214"/>
    <w:rsid w:val="00610B2F"/>
    <w:rsid w:val="00616508"/>
    <w:rsid w:val="00621442"/>
    <w:rsid w:val="0063034C"/>
    <w:rsid w:val="00640EC7"/>
    <w:rsid w:val="006412D3"/>
    <w:rsid w:val="006442B6"/>
    <w:rsid w:val="0065132C"/>
    <w:rsid w:val="00652B33"/>
    <w:rsid w:val="00663E3D"/>
    <w:rsid w:val="00665986"/>
    <w:rsid w:val="00673F3A"/>
    <w:rsid w:val="006854F7"/>
    <w:rsid w:val="00693749"/>
    <w:rsid w:val="006A75E6"/>
    <w:rsid w:val="006D00BC"/>
    <w:rsid w:val="006D0D75"/>
    <w:rsid w:val="006D416A"/>
    <w:rsid w:val="006D7DAE"/>
    <w:rsid w:val="006E1299"/>
    <w:rsid w:val="006E2C99"/>
    <w:rsid w:val="006E3FD0"/>
    <w:rsid w:val="006E4C35"/>
    <w:rsid w:val="006F167B"/>
    <w:rsid w:val="00704039"/>
    <w:rsid w:val="00705D85"/>
    <w:rsid w:val="007145F4"/>
    <w:rsid w:val="00720C3A"/>
    <w:rsid w:val="007212D2"/>
    <w:rsid w:val="00740CCF"/>
    <w:rsid w:val="00753584"/>
    <w:rsid w:val="00776FE5"/>
    <w:rsid w:val="00790BEA"/>
    <w:rsid w:val="00797F30"/>
    <w:rsid w:val="007A7B0C"/>
    <w:rsid w:val="007A7C4A"/>
    <w:rsid w:val="007C536F"/>
    <w:rsid w:val="007D183B"/>
    <w:rsid w:val="007D2870"/>
    <w:rsid w:val="007D77A4"/>
    <w:rsid w:val="007E42D1"/>
    <w:rsid w:val="007E4D87"/>
    <w:rsid w:val="007E67CF"/>
    <w:rsid w:val="00801E68"/>
    <w:rsid w:val="00802102"/>
    <w:rsid w:val="00802EA1"/>
    <w:rsid w:val="00803D4D"/>
    <w:rsid w:val="008044F5"/>
    <w:rsid w:val="00807351"/>
    <w:rsid w:val="0081280F"/>
    <w:rsid w:val="00813E05"/>
    <w:rsid w:val="00820292"/>
    <w:rsid w:val="00821115"/>
    <w:rsid w:val="00834D8D"/>
    <w:rsid w:val="008439D2"/>
    <w:rsid w:val="0085138D"/>
    <w:rsid w:val="00856E43"/>
    <w:rsid w:val="00863C55"/>
    <w:rsid w:val="008734E8"/>
    <w:rsid w:val="0087532A"/>
    <w:rsid w:val="00881E9A"/>
    <w:rsid w:val="00885C95"/>
    <w:rsid w:val="008918B2"/>
    <w:rsid w:val="00894043"/>
    <w:rsid w:val="00897E62"/>
    <w:rsid w:val="008A0F6A"/>
    <w:rsid w:val="008A2888"/>
    <w:rsid w:val="008B6150"/>
    <w:rsid w:val="008B6EC6"/>
    <w:rsid w:val="008C6243"/>
    <w:rsid w:val="008C6824"/>
    <w:rsid w:val="008C7679"/>
    <w:rsid w:val="008D149D"/>
    <w:rsid w:val="008D2755"/>
    <w:rsid w:val="008F102D"/>
    <w:rsid w:val="008F44A2"/>
    <w:rsid w:val="00914547"/>
    <w:rsid w:val="0092609C"/>
    <w:rsid w:val="00934878"/>
    <w:rsid w:val="00950836"/>
    <w:rsid w:val="009514EA"/>
    <w:rsid w:val="00952035"/>
    <w:rsid w:val="0096148D"/>
    <w:rsid w:val="00962929"/>
    <w:rsid w:val="009732E6"/>
    <w:rsid w:val="00997624"/>
    <w:rsid w:val="009B0DF0"/>
    <w:rsid w:val="009B5AA5"/>
    <w:rsid w:val="009C4982"/>
    <w:rsid w:val="009D0EF3"/>
    <w:rsid w:val="009D42F8"/>
    <w:rsid w:val="009E7442"/>
    <w:rsid w:val="009F2CF1"/>
    <w:rsid w:val="009F3054"/>
    <w:rsid w:val="00A0124B"/>
    <w:rsid w:val="00A02041"/>
    <w:rsid w:val="00A05B71"/>
    <w:rsid w:val="00A11144"/>
    <w:rsid w:val="00A2593C"/>
    <w:rsid w:val="00A31A53"/>
    <w:rsid w:val="00A32599"/>
    <w:rsid w:val="00A36DE2"/>
    <w:rsid w:val="00A36E04"/>
    <w:rsid w:val="00A37284"/>
    <w:rsid w:val="00A43B93"/>
    <w:rsid w:val="00A4758D"/>
    <w:rsid w:val="00A61AB1"/>
    <w:rsid w:val="00A70390"/>
    <w:rsid w:val="00A7669B"/>
    <w:rsid w:val="00A92C48"/>
    <w:rsid w:val="00A944BF"/>
    <w:rsid w:val="00AC6B29"/>
    <w:rsid w:val="00AD0383"/>
    <w:rsid w:val="00AD069D"/>
    <w:rsid w:val="00AD2ABA"/>
    <w:rsid w:val="00AE65B0"/>
    <w:rsid w:val="00AF1A08"/>
    <w:rsid w:val="00AF2CC8"/>
    <w:rsid w:val="00AF51F3"/>
    <w:rsid w:val="00AF5A34"/>
    <w:rsid w:val="00AF6A36"/>
    <w:rsid w:val="00B04B35"/>
    <w:rsid w:val="00B2215D"/>
    <w:rsid w:val="00B27D91"/>
    <w:rsid w:val="00B330F7"/>
    <w:rsid w:val="00B4066B"/>
    <w:rsid w:val="00B5499D"/>
    <w:rsid w:val="00B552AA"/>
    <w:rsid w:val="00B57A74"/>
    <w:rsid w:val="00B709D9"/>
    <w:rsid w:val="00B7437E"/>
    <w:rsid w:val="00B75D53"/>
    <w:rsid w:val="00B81BAA"/>
    <w:rsid w:val="00B86FDB"/>
    <w:rsid w:val="00B87355"/>
    <w:rsid w:val="00B906BC"/>
    <w:rsid w:val="00B91D60"/>
    <w:rsid w:val="00BA050A"/>
    <w:rsid w:val="00BA3EF4"/>
    <w:rsid w:val="00BB291D"/>
    <w:rsid w:val="00BB77B6"/>
    <w:rsid w:val="00BC390C"/>
    <w:rsid w:val="00BD79DE"/>
    <w:rsid w:val="00BE4E81"/>
    <w:rsid w:val="00BE5839"/>
    <w:rsid w:val="00BF10C9"/>
    <w:rsid w:val="00BF2CC5"/>
    <w:rsid w:val="00C0372A"/>
    <w:rsid w:val="00C04F00"/>
    <w:rsid w:val="00C11192"/>
    <w:rsid w:val="00C12667"/>
    <w:rsid w:val="00C24544"/>
    <w:rsid w:val="00C25A00"/>
    <w:rsid w:val="00C3025B"/>
    <w:rsid w:val="00C32C28"/>
    <w:rsid w:val="00C35F39"/>
    <w:rsid w:val="00C36BA2"/>
    <w:rsid w:val="00C467DD"/>
    <w:rsid w:val="00C515D1"/>
    <w:rsid w:val="00C54609"/>
    <w:rsid w:val="00C54A3D"/>
    <w:rsid w:val="00C55DA3"/>
    <w:rsid w:val="00C61884"/>
    <w:rsid w:val="00C63BAD"/>
    <w:rsid w:val="00C64D12"/>
    <w:rsid w:val="00C665A5"/>
    <w:rsid w:val="00C70819"/>
    <w:rsid w:val="00C85F3D"/>
    <w:rsid w:val="00C902BE"/>
    <w:rsid w:val="00C96A12"/>
    <w:rsid w:val="00CA6C05"/>
    <w:rsid w:val="00CB12F2"/>
    <w:rsid w:val="00CB4791"/>
    <w:rsid w:val="00CC3FCB"/>
    <w:rsid w:val="00CD1DF6"/>
    <w:rsid w:val="00CD3BBC"/>
    <w:rsid w:val="00CE0EE4"/>
    <w:rsid w:val="00CF1DC3"/>
    <w:rsid w:val="00CF5378"/>
    <w:rsid w:val="00D1336D"/>
    <w:rsid w:val="00D17D47"/>
    <w:rsid w:val="00D340AC"/>
    <w:rsid w:val="00D37362"/>
    <w:rsid w:val="00D41F9B"/>
    <w:rsid w:val="00D46024"/>
    <w:rsid w:val="00D54466"/>
    <w:rsid w:val="00D55E29"/>
    <w:rsid w:val="00D67756"/>
    <w:rsid w:val="00D67768"/>
    <w:rsid w:val="00D7223F"/>
    <w:rsid w:val="00D74B26"/>
    <w:rsid w:val="00D83951"/>
    <w:rsid w:val="00D95BCD"/>
    <w:rsid w:val="00DA4593"/>
    <w:rsid w:val="00DB00AA"/>
    <w:rsid w:val="00DB3684"/>
    <w:rsid w:val="00DC35F2"/>
    <w:rsid w:val="00DC5204"/>
    <w:rsid w:val="00DC7A5E"/>
    <w:rsid w:val="00DE1FD9"/>
    <w:rsid w:val="00DF5D25"/>
    <w:rsid w:val="00E03788"/>
    <w:rsid w:val="00E061DB"/>
    <w:rsid w:val="00E07888"/>
    <w:rsid w:val="00E12E09"/>
    <w:rsid w:val="00E20D67"/>
    <w:rsid w:val="00E2488C"/>
    <w:rsid w:val="00E27EBF"/>
    <w:rsid w:val="00E3275F"/>
    <w:rsid w:val="00E37089"/>
    <w:rsid w:val="00E44211"/>
    <w:rsid w:val="00E4638A"/>
    <w:rsid w:val="00E507E4"/>
    <w:rsid w:val="00E556A3"/>
    <w:rsid w:val="00E57B36"/>
    <w:rsid w:val="00E600C3"/>
    <w:rsid w:val="00E62404"/>
    <w:rsid w:val="00E70426"/>
    <w:rsid w:val="00E81B0B"/>
    <w:rsid w:val="00E932CE"/>
    <w:rsid w:val="00E9573D"/>
    <w:rsid w:val="00EA5A00"/>
    <w:rsid w:val="00EB6353"/>
    <w:rsid w:val="00EC2B50"/>
    <w:rsid w:val="00EC3996"/>
    <w:rsid w:val="00ED14CB"/>
    <w:rsid w:val="00EF445A"/>
    <w:rsid w:val="00F00748"/>
    <w:rsid w:val="00F12205"/>
    <w:rsid w:val="00F2470F"/>
    <w:rsid w:val="00F25EAF"/>
    <w:rsid w:val="00F3434A"/>
    <w:rsid w:val="00F43C22"/>
    <w:rsid w:val="00F472FE"/>
    <w:rsid w:val="00F479DB"/>
    <w:rsid w:val="00F47CBE"/>
    <w:rsid w:val="00F51263"/>
    <w:rsid w:val="00F67B72"/>
    <w:rsid w:val="00F70852"/>
    <w:rsid w:val="00F74184"/>
    <w:rsid w:val="00F84266"/>
    <w:rsid w:val="00F86892"/>
    <w:rsid w:val="00F87E08"/>
    <w:rsid w:val="00FA1A08"/>
    <w:rsid w:val="00FA4AF2"/>
    <w:rsid w:val="00FB3380"/>
    <w:rsid w:val="00FB5C3C"/>
    <w:rsid w:val="00FC3440"/>
    <w:rsid w:val="00FD009B"/>
    <w:rsid w:val="00FD015D"/>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969AB"/>
  <w15:docId w15:val="{81187A86-AB04-4BB7-95E6-07587E34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paragraph" w:styleId="Heading2">
    <w:name w:val="heading 2"/>
    <w:basedOn w:val="Normal"/>
    <w:next w:val="Normal"/>
    <w:link w:val="Heading2Char"/>
    <w:autoRedefine/>
    <w:uiPriority w:val="9"/>
    <w:unhideWhenUsed/>
    <w:qFormat/>
    <w:rsid w:val="00E061DB"/>
    <w:pPr>
      <w:keepNext/>
      <w:spacing w:before="120" w:after="120" w:line="440" w:lineRule="exact"/>
      <w:outlineLvl w:val="1"/>
    </w:pPr>
    <w:rPr>
      <w:rFonts w:ascii="CF DIN Std Light" w:eastAsia="PMingLiU" w:hAnsi="CF DIN Std Light" w:cs="Times New Roman"/>
      <w:bCs/>
      <w:iCs/>
      <w:color w:val="008CA3"/>
      <w:spacing w:val="6"/>
      <w:sz w:val="36"/>
      <w:szCs w:val="28"/>
      <w:shd w:val="clear" w:color="auto" w:fill="FFFFFF"/>
      <w:lang w:val="el-G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paragraph" w:customStyle="1" w:styleId="doctext">
    <w:name w:val="doc_text"/>
    <w:basedOn w:val="Normal"/>
    <w:qFormat/>
    <w:rsid w:val="008A2888"/>
    <w:pPr>
      <w:spacing w:before="240" w:after="240" w:line="300" w:lineRule="exact"/>
      <w:jc w:val="both"/>
    </w:pPr>
    <w:rPr>
      <w:rFonts w:ascii="CF Din Book" w:eastAsia="Calibri" w:hAnsi="CF Din Book" w:cs="Times New Roman"/>
      <w:color w:val="000000"/>
      <w:spacing w:val="6"/>
      <w:lang w:val="el-GR"/>
    </w:rPr>
  </w:style>
  <w:style w:type="character" w:customStyle="1" w:styleId="Heading2Char">
    <w:name w:val="Heading 2 Char"/>
    <w:basedOn w:val="DefaultParagraphFont"/>
    <w:link w:val="Heading2"/>
    <w:uiPriority w:val="9"/>
    <w:rsid w:val="00E061DB"/>
    <w:rPr>
      <w:rFonts w:ascii="CF DIN Std Light" w:eastAsia="PMingLiU" w:hAnsi="CF DIN Std Light" w:cs="Times New Roman"/>
      <w:bCs/>
      <w:iCs/>
      <w:color w:val="008CA3"/>
      <w:spacing w:val="6"/>
      <w:sz w:val="36"/>
      <w:szCs w:val="28"/>
      <w:lang w:val="el-G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ics.ekt.gr/publications/723" TargetMode="External"/><Relationship Id="rId18" Type="http://schemas.openxmlformats.org/officeDocument/2006/relationships/image" Target="media/image1.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hyperlink" Target="http://www.didaktorika.gr" TargetMode="External"/><Relationship Id="rId17" Type="http://schemas.openxmlformats.org/officeDocument/2006/relationships/hyperlink" Target="http://www.ekt.g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proed@ekt.gr"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72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idaktorika.g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rics.ekt.gr/phd-holders" TargetMode="External"/><Relationship Id="rId22" Type="http://schemas.openxmlformats.org/officeDocument/2006/relationships/image" Target="media/image5.JP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FDC1E84DE6F0B14EBFD3DB873A1B76BA" ma:contentTypeVersion="15" ma:contentTypeDescription="Δημιουργία νέου εγγράφου" ma:contentTypeScope="" ma:versionID="39ac33dab37ab7515e9fd87691f1bc1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2ff55ff72292291df45dc740ee832381"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29FC-190D-41C6-9256-46089EB8B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3.xml><?xml version="1.0" encoding="utf-8"?>
<ds:datastoreItem xmlns:ds="http://schemas.openxmlformats.org/officeDocument/2006/customXml" ds:itemID="{D7C71795-8556-4C71-B376-894D395A4ADA}">
  <ds:schemaRefs>
    <ds:schemaRef ds:uri="http://purl.org/dc/elements/1.1/"/>
    <ds:schemaRef ds:uri="http://purl.org/dc/terms/"/>
    <ds:schemaRef ds:uri="http://purl.org/dc/dcmitype/"/>
    <ds:schemaRef ds:uri="http://www.w3.org/XML/1998/namespace"/>
    <ds:schemaRef ds:uri="http://schemas.microsoft.com/office/2006/documentManagement/types"/>
    <ds:schemaRef ds:uri="fc1a25ad-c8f1-48d8-b13a-dff6fe122856"/>
    <ds:schemaRef ds:uri="http://schemas.openxmlformats.org/package/2006/metadata/core-properties"/>
    <ds:schemaRef ds:uri="http://schemas.microsoft.com/office/infopath/2007/PartnerControls"/>
    <ds:schemaRef ds:uri="3c85ea02-3356-4cf5-86fa-e25d0775b27d"/>
    <ds:schemaRef ds:uri="http://schemas.microsoft.com/office/2006/metadata/properties"/>
  </ds:schemaRefs>
</ds:datastoreItem>
</file>

<file path=customXml/itemProps4.xml><?xml version="1.0" encoding="utf-8"?>
<ds:datastoreItem xmlns:ds="http://schemas.openxmlformats.org/officeDocument/2006/customXml" ds:itemID="{1AED498C-DF0A-4D05-8160-D4D91680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1621</Words>
  <Characters>9246</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Μαργαρίτης Προέδρου - ΕΚΤ</dc:creator>
  <cp:keywords/>
  <dc:description/>
  <cp:lastModifiedBy> </cp:lastModifiedBy>
  <cp:revision>9</cp:revision>
  <cp:lastPrinted>2024-12-17T15:38:00Z</cp:lastPrinted>
  <dcterms:created xsi:type="dcterms:W3CDTF">2024-12-16T13:47:00Z</dcterms:created>
  <dcterms:modified xsi:type="dcterms:W3CDTF">2024-12-18T13:52:00Z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